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000000"/>
          <w:sz w:val="30"/>
          <w:szCs w:val="30"/>
        </w:rPr>
      </w:pPr>
      <w:r>
        <w:rPr>
          <w:rFonts w:ascii="宋体" w:hAnsi="宋体"/>
          <w:b/>
          <w:bCs/>
          <w:color w:val="000000"/>
          <w:sz w:val="30"/>
          <w:szCs w:val="30"/>
        </w:rPr>
        <w:t>上海应用技术大学</w:t>
      </w:r>
    </w:p>
    <w:p>
      <w:pPr>
        <w:spacing w:line="360" w:lineRule="auto"/>
        <w:jc w:val="center"/>
        <w:rPr>
          <w:rFonts w:ascii="宋体" w:hAnsi="宋体"/>
          <w:b/>
          <w:bCs/>
          <w:color w:val="000000"/>
          <w:sz w:val="30"/>
          <w:szCs w:val="30"/>
        </w:rPr>
      </w:pPr>
      <w:r>
        <w:rPr>
          <w:rFonts w:ascii="Times New Roman" w:hAnsi="Times New Roman" w:eastAsia="Times New Roman"/>
          <w:b/>
          <w:bCs/>
          <w:color w:val="000000"/>
          <w:sz w:val="30"/>
          <w:szCs w:val="30"/>
        </w:rPr>
        <w:t>202</w:t>
      </w:r>
      <w:r>
        <w:rPr>
          <w:rFonts w:hint="eastAsia" w:asciiTheme="minorEastAsia" w:hAnsiTheme="minorEastAsia" w:eastAsiaTheme="minorEastAsia"/>
          <w:b/>
          <w:bCs/>
          <w:color w:val="000000"/>
          <w:sz w:val="30"/>
          <w:szCs w:val="30"/>
        </w:rPr>
        <w:t>2</w:t>
      </w:r>
      <w:r>
        <w:rPr>
          <w:rFonts w:ascii="宋体" w:hAnsi="宋体"/>
          <w:b/>
          <w:bCs/>
          <w:color w:val="000000"/>
          <w:sz w:val="30"/>
          <w:szCs w:val="30"/>
        </w:rPr>
        <w:t>级</w:t>
      </w:r>
      <w:r>
        <w:rPr>
          <w:rFonts w:hint="eastAsia" w:ascii="宋体" w:hAnsi="宋体"/>
          <w:b/>
          <w:bCs/>
          <w:color w:val="000000"/>
          <w:sz w:val="30"/>
          <w:szCs w:val="30"/>
          <w:lang w:val="en-US" w:eastAsia="zh-CN"/>
        </w:rPr>
        <w:t>非</w:t>
      </w:r>
      <w:r>
        <w:rPr>
          <w:rFonts w:ascii="宋体" w:hAnsi="宋体"/>
          <w:b/>
          <w:bCs/>
          <w:color w:val="000000"/>
          <w:sz w:val="30"/>
          <w:szCs w:val="30"/>
        </w:rPr>
        <w:t>全日制专业学位硕士研究生培养方案</w:t>
      </w:r>
    </w:p>
    <w:p>
      <w:pPr>
        <w:spacing w:line="360" w:lineRule="auto"/>
        <w:jc w:val="center"/>
        <w:rPr>
          <w:rFonts w:ascii="宋体" w:hAnsi="宋体"/>
          <w:b/>
          <w:bCs/>
          <w:color w:val="000000"/>
          <w:sz w:val="28"/>
          <w:szCs w:val="28"/>
        </w:rPr>
      </w:pPr>
      <w:r>
        <w:rPr>
          <w:rFonts w:ascii="宋体" w:hAnsi="宋体"/>
          <w:b/>
          <w:bCs/>
          <w:color w:val="000000"/>
          <w:sz w:val="28"/>
          <w:szCs w:val="28"/>
        </w:rPr>
        <w:t>工程硕士点名称：电子信息</w:t>
      </w:r>
    </w:p>
    <w:p>
      <w:pPr>
        <w:spacing w:line="360" w:lineRule="auto"/>
        <w:jc w:val="center"/>
        <w:rPr>
          <w:rFonts w:ascii="Times New Roman" w:hAnsi="Times New Roman" w:eastAsia="Times New Roman"/>
          <w:b/>
          <w:bCs/>
          <w:color w:val="000000"/>
          <w:sz w:val="28"/>
          <w:szCs w:val="28"/>
        </w:rPr>
      </w:pPr>
      <w:r>
        <w:rPr>
          <w:rFonts w:ascii="宋体" w:hAnsi="宋体"/>
          <w:b/>
          <w:bCs/>
          <w:color w:val="000000"/>
          <w:sz w:val="28"/>
          <w:szCs w:val="28"/>
        </w:rPr>
        <w:t>专业代码：</w:t>
      </w:r>
      <w:r>
        <w:rPr>
          <w:rFonts w:ascii="Times New Roman" w:hAnsi="Times New Roman" w:eastAsia="Times New Roman"/>
          <w:b/>
          <w:bCs/>
          <w:color w:val="000000"/>
          <w:sz w:val="28"/>
          <w:szCs w:val="28"/>
        </w:rPr>
        <w:t>0854</w:t>
      </w:r>
    </w:p>
    <w:p>
      <w:pPr>
        <w:spacing w:line="360" w:lineRule="auto"/>
        <w:jc w:val="center"/>
        <w:rPr>
          <w:rFonts w:ascii="宋体" w:hAnsi="宋体"/>
          <w:color w:val="000000"/>
          <w:sz w:val="24"/>
          <w:szCs w:val="24"/>
        </w:rPr>
      </w:pPr>
      <w:r>
        <w:rPr>
          <w:rFonts w:ascii="Times New Roman" w:hAnsi="Times New Roman" w:eastAsia="Times New Roman"/>
          <w:color w:val="000000"/>
          <w:sz w:val="24"/>
          <w:szCs w:val="24"/>
        </w:rPr>
        <w:t>202</w:t>
      </w:r>
      <w:r>
        <w:rPr>
          <w:rFonts w:hint="eastAsia" w:asciiTheme="minorEastAsia" w:hAnsiTheme="minorEastAsia" w:eastAsiaTheme="minorEastAsia"/>
          <w:color w:val="000000"/>
          <w:sz w:val="24"/>
          <w:szCs w:val="24"/>
        </w:rPr>
        <w:t>2</w:t>
      </w:r>
      <w:r>
        <w:rPr>
          <w:rFonts w:ascii="宋体" w:hAnsi="宋体"/>
          <w:color w:val="000000"/>
          <w:sz w:val="24"/>
          <w:szCs w:val="24"/>
        </w:rPr>
        <w:t>年</w:t>
      </w:r>
      <w:r>
        <w:rPr>
          <w:rFonts w:hint="eastAsia" w:ascii="宋体" w:hAnsi="宋体"/>
          <w:color w:val="000000"/>
          <w:sz w:val="24"/>
          <w:szCs w:val="24"/>
        </w:rPr>
        <w:t>6</w:t>
      </w:r>
      <w:r>
        <w:rPr>
          <w:rFonts w:ascii="宋体" w:hAnsi="宋体"/>
          <w:color w:val="000000"/>
          <w:sz w:val="24"/>
          <w:szCs w:val="24"/>
        </w:rPr>
        <w:t>月修订</w:t>
      </w:r>
    </w:p>
    <w:p>
      <w:pPr>
        <w:spacing w:line="360" w:lineRule="auto"/>
        <w:ind w:firstLine="480" w:firstLineChars="200"/>
        <w:rPr>
          <w:rFonts w:ascii="宋体" w:hAnsi="宋体"/>
          <w:color w:val="000000"/>
          <w:sz w:val="24"/>
          <w:szCs w:val="24"/>
        </w:rPr>
      </w:pPr>
      <w:r>
        <w:rPr>
          <w:rFonts w:ascii="宋体" w:hAnsi="宋体"/>
          <w:color w:val="000000"/>
          <w:sz w:val="24"/>
          <w:szCs w:val="24"/>
        </w:rPr>
        <w:t>电子信息硕士专业学位是与电子、通信、控制、计算机、电气、软件、光电、仪器仪表等专业领域，以及网络空间安全、人工智能、虚拟现实、集成电路、大数据与云计算、物联网、生物信息、量子信息等新兴方向紧密关联的专业学位。电子信息技术涉及面宽，渗透力强，作为核心技术广泛应用于国防建设、民用工业、高新技术等领域，以及日常生活。电子信息技术正在向高速化、绿色化、集成化、数字化、网络化、平台化、智能化、多媒体化、个性化等方向发展。微电子与光电子技术、软件技术、通信技术、计算机技术、控制技术、信息安全技术、传感技术、人工智能技术、虚拟计算技术等多专业技术相互结合、互为支撑的趋势日渐明显；电信网、电力网、电视网、互联网的信息化功能日趋统一；同时更加注重电子信息技术与生物、纳米、认知等新兴技术的紧密联系和交叉融合，成为发展交叉学科与汇聚科学的纽带。</w:t>
      </w:r>
    </w:p>
    <w:p>
      <w:pPr>
        <w:spacing w:line="360" w:lineRule="auto"/>
        <w:ind w:firstLine="480" w:firstLineChars="200"/>
        <w:jc w:val="left"/>
        <w:rPr>
          <w:rFonts w:ascii="宋体" w:hAnsi="宋体"/>
          <w:color w:val="000000"/>
          <w:sz w:val="24"/>
          <w:szCs w:val="24"/>
        </w:rPr>
      </w:pPr>
      <w:r>
        <w:rPr>
          <w:rFonts w:ascii="宋体" w:hAnsi="宋体"/>
          <w:color w:val="000000"/>
          <w:sz w:val="24"/>
          <w:szCs w:val="24"/>
        </w:rPr>
        <w:t>为更好地适应国家经济社会发展对高层次、复合型、应用创新型人才的新需求，全面贯彻党的教育方针，落实立德树人根本任务，进一步突出“思想政治正确、社会责任合格、理论方法扎实、技术应用过硬”的电子信息专业硕士学位研究生培养特色，全面提高培养质量，依据《国务院学位委员会</w:t>
      </w:r>
      <w:r>
        <w:rPr>
          <w:rFonts w:ascii="Times New Roman" w:hAnsi="Times New Roman" w:eastAsia="Times New Roman"/>
          <w:color w:val="000000"/>
          <w:sz w:val="24"/>
          <w:szCs w:val="24"/>
        </w:rPr>
        <w:t xml:space="preserve"> </w:t>
      </w:r>
      <w:r>
        <w:rPr>
          <w:rFonts w:ascii="宋体" w:hAnsi="宋体"/>
          <w:color w:val="000000"/>
          <w:sz w:val="24"/>
          <w:szCs w:val="24"/>
        </w:rPr>
        <w:t>教育部关于对工程专业学位类别进行调整的通知》（学位〔</w:t>
      </w:r>
      <w:r>
        <w:rPr>
          <w:rFonts w:ascii="Times New Roman" w:hAnsi="Times New Roman" w:eastAsia="Times New Roman"/>
          <w:color w:val="000000"/>
          <w:sz w:val="24"/>
          <w:szCs w:val="24"/>
        </w:rPr>
        <w:t>2018</w:t>
      </w:r>
      <w:r>
        <w:rPr>
          <w:rFonts w:ascii="宋体" w:hAnsi="宋体"/>
          <w:color w:val="000000"/>
          <w:sz w:val="24"/>
          <w:szCs w:val="24"/>
        </w:rPr>
        <w:t>〕</w:t>
      </w:r>
      <w:r>
        <w:rPr>
          <w:rFonts w:ascii="Times New Roman" w:hAnsi="Times New Roman" w:eastAsia="Times New Roman"/>
          <w:color w:val="000000"/>
          <w:sz w:val="24"/>
          <w:szCs w:val="24"/>
        </w:rPr>
        <w:t xml:space="preserve">7 </w:t>
      </w:r>
      <w:r>
        <w:rPr>
          <w:rFonts w:ascii="宋体" w:hAnsi="宋体"/>
          <w:color w:val="000000"/>
          <w:sz w:val="24"/>
          <w:szCs w:val="24"/>
        </w:rPr>
        <w:t>号）、《关于公布电子信息等</w:t>
      </w:r>
      <w:r>
        <w:rPr>
          <w:rFonts w:ascii="Times New Roman" w:hAnsi="Times New Roman" w:eastAsia="Times New Roman"/>
          <w:color w:val="000000"/>
          <w:sz w:val="24"/>
          <w:szCs w:val="24"/>
        </w:rPr>
        <w:t>8</w:t>
      </w:r>
      <w:r>
        <w:rPr>
          <w:rFonts w:ascii="宋体" w:hAnsi="宋体"/>
          <w:color w:val="000000"/>
          <w:sz w:val="24"/>
          <w:szCs w:val="24"/>
        </w:rPr>
        <w:t>种专业学位类别硕士学位授权点申请基本条件（试行）的通知》（工程教指委</w:t>
      </w:r>
      <w:r>
        <w:rPr>
          <w:rFonts w:ascii="Times New Roman" w:hAnsi="Times New Roman" w:eastAsia="Times New Roman"/>
          <w:color w:val="000000"/>
          <w:sz w:val="24"/>
          <w:szCs w:val="24"/>
        </w:rPr>
        <w:t>[2019]6</w:t>
      </w:r>
      <w:r>
        <w:rPr>
          <w:rFonts w:ascii="宋体" w:hAnsi="宋体"/>
          <w:color w:val="000000"/>
          <w:sz w:val="24"/>
          <w:szCs w:val="24"/>
        </w:rPr>
        <w:t>号）等相关文件及学校的要求，制定本</w:t>
      </w:r>
      <w:r>
        <w:rPr>
          <w:rFonts w:hint="eastAsia" w:ascii="宋体" w:hAnsi="宋体"/>
          <w:color w:val="000000"/>
          <w:sz w:val="24"/>
          <w:szCs w:val="24"/>
          <w:lang w:val="en-US" w:eastAsia="zh-CN"/>
        </w:rPr>
        <w:t>电子信息（非全日制）专业的</w:t>
      </w:r>
      <w:r>
        <w:rPr>
          <w:rFonts w:ascii="宋体" w:hAnsi="宋体"/>
          <w:color w:val="000000"/>
          <w:sz w:val="24"/>
          <w:szCs w:val="24"/>
        </w:rPr>
        <w:t>培养方案。</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培养定位及目标</w:t>
      </w:r>
    </w:p>
    <w:p>
      <w:pPr>
        <w:spacing w:line="360" w:lineRule="auto"/>
        <w:ind w:firstLine="480" w:firstLineChars="200"/>
        <w:jc w:val="left"/>
        <w:rPr>
          <w:rFonts w:ascii="宋体" w:hAnsi="宋体"/>
          <w:color w:val="000000"/>
          <w:sz w:val="24"/>
          <w:szCs w:val="24"/>
        </w:rPr>
      </w:pPr>
      <w:r>
        <w:rPr>
          <w:rFonts w:ascii="宋体" w:hAnsi="宋体"/>
          <w:color w:val="000000"/>
          <w:sz w:val="24"/>
          <w:szCs w:val="24"/>
        </w:rPr>
        <w:t>立足长三角，面向全国，围绕大数据</w:t>
      </w:r>
      <w:r>
        <w:rPr>
          <w:rFonts w:ascii="Times New Roman" w:hAnsi="Times New Roman" w:eastAsia="Times New Roman"/>
          <w:color w:val="000000"/>
          <w:sz w:val="24"/>
          <w:szCs w:val="24"/>
        </w:rPr>
        <w:t>+</w:t>
      </w:r>
      <w:r>
        <w:rPr>
          <w:rFonts w:ascii="宋体" w:hAnsi="宋体"/>
          <w:color w:val="000000"/>
          <w:sz w:val="24"/>
          <w:szCs w:val="24"/>
        </w:rPr>
        <w:t>和人工智能</w:t>
      </w:r>
      <w:r>
        <w:rPr>
          <w:rFonts w:ascii="Times New Roman" w:hAnsi="Times New Roman" w:eastAsia="Times New Roman"/>
          <w:color w:val="000000"/>
          <w:sz w:val="24"/>
          <w:szCs w:val="24"/>
        </w:rPr>
        <w:t>+</w:t>
      </w:r>
      <w:r>
        <w:rPr>
          <w:rFonts w:ascii="宋体" w:hAnsi="宋体"/>
          <w:color w:val="000000"/>
          <w:sz w:val="24"/>
          <w:szCs w:val="24"/>
        </w:rPr>
        <w:t>，培养系统掌握电子信息（包括智能计算与大数据技术、光电信息感知与智能处理技术、轨交智能控制与检测技术）技术方向坚实的基础理论和宽广的专业知识，熟悉相关规范，具有独立担负工程规划、工程设计、工程实施、工程研究、工程开发、工程管理等专门技术与管理工作的能力，体现良好的职业素养，基础扎实、素质全面、工程实践能力强，并具有一定创新能力的应用型、复合型高层次工程技术与工程管理人才。</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具体要求如下：</w:t>
      </w:r>
    </w:p>
    <w:p>
      <w:pPr>
        <w:spacing w:line="360" w:lineRule="auto"/>
        <w:ind w:firstLine="480" w:firstLineChars="200"/>
        <w:rPr>
          <w:rFonts w:ascii="宋体" w:hAnsi="宋体"/>
          <w:color w:val="000000"/>
          <w:kern w:val="0"/>
          <w:sz w:val="24"/>
          <w:szCs w:val="24"/>
        </w:rPr>
      </w:pPr>
      <w:r>
        <w:rPr>
          <w:rFonts w:ascii="Arial" w:hAnsi="Arial" w:eastAsia="Arial"/>
          <w:color w:val="000000"/>
          <w:kern w:val="0"/>
          <w:sz w:val="24"/>
          <w:szCs w:val="24"/>
        </w:rPr>
        <w:t xml:space="preserve">1. </w:t>
      </w:r>
      <w:r>
        <w:rPr>
          <w:rFonts w:ascii="宋体" w:hAnsi="宋体"/>
          <w:color w:val="000000"/>
          <w:kern w:val="0"/>
          <w:sz w:val="24"/>
          <w:szCs w:val="24"/>
        </w:rPr>
        <w:t>热爱祖国，具有服务国家和人民的高度的社会责任感、良好的职业道德和创业精神，坚持实事求是、严谨勤奋、勇于创新，能够正确对待成败与挫折，恪守职业道德和工程伦理。</w:t>
      </w:r>
    </w:p>
    <w:p>
      <w:pPr>
        <w:spacing w:line="360" w:lineRule="auto"/>
        <w:ind w:firstLine="480" w:firstLineChars="200"/>
        <w:rPr>
          <w:rFonts w:ascii="宋体" w:hAnsi="宋体"/>
          <w:color w:val="000000"/>
          <w:kern w:val="0"/>
          <w:sz w:val="24"/>
          <w:szCs w:val="24"/>
        </w:rPr>
      </w:pPr>
      <w:r>
        <w:rPr>
          <w:rFonts w:ascii="Arial" w:hAnsi="Arial" w:eastAsia="Arial"/>
          <w:color w:val="000000"/>
          <w:kern w:val="0"/>
          <w:sz w:val="24"/>
          <w:szCs w:val="24"/>
        </w:rPr>
        <w:t xml:space="preserve">2. </w:t>
      </w:r>
      <w:r>
        <w:rPr>
          <w:rFonts w:ascii="宋体" w:hAnsi="宋体"/>
          <w:color w:val="000000"/>
          <w:kern w:val="0"/>
          <w:sz w:val="24"/>
          <w:szCs w:val="24"/>
        </w:rPr>
        <w:t>具有科学严谨和求真务实的学习态度和工作作风，遵纪守法，诚实守信，恪守学术规范，尊重他人的知识产权，拒绝抄袭与剽窃、伪造与篡改等学术不端行为。</w:t>
      </w:r>
    </w:p>
    <w:p>
      <w:pPr>
        <w:spacing w:line="360" w:lineRule="auto"/>
        <w:ind w:firstLine="480" w:firstLineChars="200"/>
        <w:rPr>
          <w:rFonts w:ascii="宋体" w:hAnsi="宋体"/>
          <w:color w:val="000000"/>
          <w:kern w:val="0"/>
          <w:sz w:val="24"/>
          <w:szCs w:val="24"/>
        </w:rPr>
      </w:pPr>
      <w:r>
        <w:rPr>
          <w:rFonts w:ascii="Arial" w:hAnsi="Arial" w:eastAsia="Arial"/>
          <w:color w:val="000000"/>
          <w:kern w:val="0"/>
          <w:sz w:val="24"/>
          <w:szCs w:val="24"/>
        </w:rPr>
        <w:t xml:space="preserve">3. </w:t>
      </w:r>
      <w:r>
        <w:rPr>
          <w:rFonts w:ascii="宋体" w:hAnsi="宋体"/>
          <w:color w:val="000000"/>
          <w:kern w:val="0"/>
          <w:sz w:val="24"/>
          <w:szCs w:val="24"/>
        </w:rPr>
        <w:t>掌握智能计算与大数据技术、光电信息感知与智能处理技术、轨交智能控制与检测技术方向坚实的基础理论和宽广的专业知识，熟悉相关规范，具有独立担负工程规划、工程设计、工程实施、工程研究、工程开发、工程管理等专门技术与管理工作的能力，体现良好的职业素养。</w:t>
      </w:r>
    </w:p>
    <w:p>
      <w:pPr>
        <w:spacing w:line="360" w:lineRule="auto"/>
        <w:ind w:firstLine="480" w:firstLineChars="200"/>
        <w:rPr>
          <w:rFonts w:ascii="Arial" w:hAnsi="Arial" w:eastAsia="Arial"/>
          <w:color w:val="000000"/>
          <w:kern w:val="0"/>
          <w:sz w:val="24"/>
          <w:szCs w:val="24"/>
        </w:rPr>
      </w:pPr>
      <w:r>
        <w:rPr>
          <w:rFonts w:ascii="Arial" w:hAnsi="Arial" w:eastAsia="Arial"/>
          <w:color w:val="000000"/>
          <w:kern w:val="0"/>
          <w:sz w:val="24"/>
          <w:szCs w:val="24"/>
        </w:rPr>
        <w:t xml:space="preserve">4. </w:t>
      </w:r>
      <w:r>
        <w:rPr>
          <w:rFonts w:ascii="宋体" w:hAnsi="宋体"/>
          <w:color w:val="000000"/>
          <w:kern w:val="0"/>
          <w:sz w:val="24"/>
          <w:szCs w:val="24"/>
        </w:rPr>
        <w:t>获本专业学位应接受的专业实践训练。通过专业实践环节，基本熟悉本行业工作流程和相关职业及技术规范，培养工程实践及技术研发与创新能力。</w:t>
      </w:r>
      <w:r>
        <w:rPr>
          <w:rFonts w:ascii="Arial" w:hAnsi="Arial" w:eastAsia="Arial"/>
          <w:color w:val="000000"/>
          <w:kern w:val="0"/>
          <w:sz w:val="24"/>
          <w:szCs w:val="24"/>
        </w:rPr>
        <w:t xml:space="preserve"> </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学习方式及修业年限</w:t>
      </w:r>
    </w:p>
    <w:p>
      <w:pPr>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lang w:val="en-US" w:eastAsia="zh-CN"/>
        </w:rPr>
        <w:t>非</w:t>
      </w:r>
      <w:r>
        <w:rPr>
          <w:rFonts w:ascii="宋体" w:hAnsi="宋体"/>
          <w:color w:val="000000"/>
          <w:kern w:val="0"/>
          <w:sz w:val="24"/>
          <w:szCs w:val="24"/>
        </w:rPr>
        <w:t>全日制硕士专业学位研究生的学制为</w:t>
      </w:r>
      <w:r>
        <w:rPr>
          <w:rFonts w:ascii="Times New Roman" w:hAnsi="Times New Roman" w:eastAsia="Times New Roman"/>
          <w:color w:val="000000"/>
          <w:kern w:val="0"/>
          <w:sz w:val="24"/>
          <w:szCs w:val="24"/>
        </w:rPr>
        <w:t>3</w:t>
      </w:r>
      <w:r>
        <w:rPr>
          <w:rFonts w:ascii="宋体" w:hAnsi="宋体"/>
          <w:color w:val="000000"/>
          <w:kern w:val="0"/>
          <w:sz w:val="24"/>
          <w:szCs w:val="24"/>
        </w:rPr>
        <w:t>年，学习年限最长不超过</w:t>
      </w:r>
      <w:r>
        <w:rPr>
          <w:rFonts w:ascii="Times New Roman" w:hAnsi="Times New Roman" w:eastAsia="Times New Roman"/>
          <w:color w:val="000000"/>
          <w:kern w:val="0"/>
          <w:sz w:val="24"/>
          <w:szCs w:val="24"/>
        </w:rPr>
        <w:t>5</w:t>
      </w:r>
      <w:r>
        <w:rPr>
          <w:rFonts w:ascii="宋体" w:hAnsi="宋体"/>
          <w:color w:val="000000"/>
          <w:kern w:val="0"/>
          <w:sz w:val="24"/>
          <w:szCs w:val="24"/>
        </w:rPr>
        <w:t>年。</w:t>
      </w:r>
      <w:r>
        <w:rPr>
          <w:rFonts w:ascii="宋体" w:hAnsi="宋体"/>
          <w:color w:val="000000"/>
          <w:sz w:val="24"/>
          <w:szCs w:val="24"/>
        </w:rPr>
        <w:t>其中</w:t>
      </w:r>
      <w:r>
        <w:rPr>
          <w:rFonts w:ascii="宋体" w:hAnsi="宋体"/>
          <w:color w:val="000000"/>
          <w:kern w:val="0"/>
          <w:sz w:val="24"/>
          <w:szCs w:val="24"/>
        </w:rPr>
        <w:t>理论课程学习时间为</w:t>
      </w:r>
      <w:r>
        <w:rPr>
          <w:rFonts w:ascii="Arial" w:hAnsi="Arial" w:eastAsia="Arial"/>
          <w:color w:val="000000"/>
          <w:kern w:val="0"/>
          <w:sz w:val="24"/>
          <w:szCs w:val="24"/>
        </w:rPr>
        <w:t>1</w:t>
      </w:r>
      <w:r>
        <w:rPr>
          <w:rFonts w:ascii="宋体" w:hAnsi="宋体"/>
          <w:color w:val="000000"/>
          <w:kern w:val="0"/>
          <w:sz w:val="24"/>
          <w:szCs w:val="24"/>
        </w:rPr>
        <w:t>年，企业专业实践时间应不少于</w:t>
      </w:r>
      <w:r>
        <w:rPr>
          <w:rFonts w:ascii="Arial" w:hAnsi="Arial" w:eastAsia="Arial"/>
          <w:color w:val="000000"/>
          <w:kern w:val="0"/>
          <w:sz w:val="24"/>
          <w:szCs w:val="24"/>
        </w:rPr>
        <w:t>1</w:t>
      </w:r>
      <w:r>
        <w:rPr>
          <w:rFonts w:ascii="宋体" w:hAnsi="宋体"/>
          <w:color w:val="000000"/>
          <w:kern w:val="0"/>
          <w:sz w:val="24"/>
          <w:szCs w:val="24"/>
        </w:rPr>
        <w:t>年。为每位研究生配备</w:t>
      </w:r>
      <w:r>
        <w:rPr>
          <w:rFonts w:ascii="Arial" w:hAnsi="Arial" w:eastAsia="Arial"/>
          <w:color w:val="000000"/>
          <w:kern w:val="0"/>
          <w:sz w:val="24"/>
          <w:szCs w:val="24"/>
        </w:rPr>
        <w:t>1</w:t>
      </w:r>
      <w:r>
        <w:rPr>
          <w:rFonts w:ascii="宋体" w:hAnsi="宋体"/>
          <w:color w:val="000000"/>
          <w:kern w:val="0"/>
          <w:sz w:val="24"/>
          <w:szCs w:val="24"/>
        </w:rPr>
        <w:t>名具有电子信息类别副高级及以上专业技术职称的行（企）业导师，参与研究生的培养方案制定、课程建设与教学、学位论文开题、中期考查、专业实践以及学位论文指导与答辩过程。课程学习成绩有效期为</w:t>
      </w:r>
      <w:r>
        <w:rPr>
          <w:rFonts w:ascii="Arial" w:hAnsi="Arial" w:eastAsia="Arial"/>
          <w:color w:val="000000"/>
          <w:kern w:val="0"/>
          <w:sz w:val="24"/>
          <w:szCs w:val="24"/>
        </w:rPr>
        <w:t>5</w:t>
      </w:r>
      <w:r>
        <w:rPr>
          <w:rFonts w:ascii="宋体" w:hAnsi="宋体"/>
          <w:color w:val="000000"/>
          <w:kern w:val="0"/>
          <w:sz w:val="24"/>
          <w:szCs w:val="24"/>
        </w:rPr>
        <w:t>年。经过理论学习和专业实践，修完培养</w:t>
      </w:r>
      <w:r>
        <w:rPr>
          <w:rFonts w:ascii="宋体" w:hAnsi="宋体"/>
          <w:color w:val="000000"/>
          <w:sz w:val="24"/>
          <w:szCs w:val="24"/>
        </w:rPr>
        <w:t>方案中规定的全部课程、学分，可申请进行学位论文答辩。</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学科专业和研究方向</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1. </w:t>
      </w:r>
      <w:r>
        <w:rPr>
          <w:rFonts w:ascii="宋体" w:hAnsi="宋体"/>
          <w:color w:val="000000"/>
          <w:sz w:val="24"/>
          <w:szCs w:val="24"/>
        </w:rPr>
        <w:t>智能计算与大数据技术</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2. </w:t>
      </w:r>
      <w:r>
        <w:rPr>
          <w:rFonts w:ascii="宋体" w:hAnsi="宋体"/>
          <w:color w:val="000000"/>
          <w:sz w:val="24"/>
          <w:szCs w:val="24"/>
        </w:rPr>
        <w:t>光电信息感知与智能处理技术</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3. </w:t>
      </w:r>
      <w:r>
        <w:rPr>
          <w:rFonts w:ascii="宋体" w:hAnsi="宋体"/>
          <w:color w:val="000000"/>
          <w:sz w:val="24"/>
          <w:szCs w:val="24"/>
        </w:rPr>
        <w:t>轨交智能控制与检测技术</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培养方式</w:t>
      </w:r>
    </w:p>
    <w:p>
      <w:pPr>
        <w:spacing w:line="360" w:lineRule="auto"/>
        <w:ind w:firstLine="480" w:firstLineChars="200"/>
        <w:rPr>
          <w:rFonts w:ascii="宋体" w:hAnsi="宋体"/>
          <w:color w:val="000000"/>
          <w:sz w:val="24"/>
          <w:szCs w:val="24"/>
        </w:rPr>
      </w:pPr>
      <w:r>
        <w:rPr>
          <w:rFonts w:ascii="宋体" w:hAnsi="宋体"/>
          <w:color w:val="000000"/>
          <w:sz w:val="24"/>
          <w:szCs w:val="24"/>
        </w:rPr>
        <w:t>采用课程学习、专业实践和学位论文相结合的培养方式，三者同等重要。</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1. </w:t>
      </w:r>
      <w:r>
        <w:rPr>
          <w:rFonts w:ascii="宋体" w:hAnsi="宋体"/>
          <w:b/>
          <w:bCs/>
          <w:color w:val="000000"/>
          <w:sz w:val="24"/>
          <w:szCs w:val="24"/>
        </w:rPr>
        <w:t>课程学习</w:t>
      </w:r>
      <w:r>
        <w:rPr>
          <w:rFonts w:ascii="宋体" w:hAnsi="宋体"/>
          <w:color w:val="000000"/>
          <w:sz w:val="24"/>
          <w:szCs w:val="24"/>
        </w:rPr>
        <w:t>是工程类硕士专业学位研究生掌握基础知识和专业知识，构建知识结构的主要途径。课程学习须按照培养计划严格执行，其中公共课程、专业基础课程和选修课程主要在培养单位集中学习，校企联合课程、案例课程以及职业素养课程可在培养单位或企业开展。</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 2. </w:t>
      </w:r>
      <w:r>
        <w:rPr>
          <w:rFonts w:ascii="宋体" w:hAnsi="宋体"/>
          <w:b/>
          <w:bCs/>
          <w:color w:val="000000"/>
          <w:sz w:val="24"/>
          <w:szCs w:val="24"/>
        </w:rPr>
        <w:t>专业实践</w:t>
      </w:r>
      <w:r>
        <w:rPr>
          <w:rFonts w:ascii="宋体" w:hAnsi="宋体"/>
          <w:color w:val="000000"/>
          <w:sz w:val="24"/>
          <w:szCs w:val="24"/>
        </w:rPr>
        <w:t>是工程类硕士专业学位研究生获得实践经验，提高实践能力的重要环节。专业实践形式可采用集中实践和分段实践相结合的方式。具有</w:t>
      </w:r>
      <w:r>
        <w:rPr>
          <w:rFonts w:ascii="Times New Roman" w:hAnsi="Times New Roman" w:eastAsia="Times New Roman"/>
          <w:color w:val="000000"/>
          <w:sz w:val="24"/>
          <w:szCs w:val="24"/>
        </w:rPr>
        <w:t>2</w:t>
      </w:r>
      <w:r>
        <w:rPr>
          <w:rFonts w:ascii="宋体" w:hAnsi="宋体"/>
          <w:color w:val="000000"/>
          <w:sz w:val="24"/>
          <w:szCs w:val="24"/>
        </w:rPr>
        <w:t>年及以上企业工作经历的专业学位研究生专业实践时间不少于</w:t>
      </w:r>
      <w:r>
        <w:rPr>
          <w:rFonts w:ascii="Times New Roman" w:hAnsi="Times New Roman" w:eastAsia="Times New Roman"/>
          <w:color w:val="000000"/>
          <w:sz w:val="24"/>
          <w:szCs w:val="24"/>
        </w:rPr>
        <w:t>6</w:t>
      </w:r>
      <w:r>
        <w:rPr>
          <w:rFonts w:ascii="宋体" w:hAnsi="宋体"/>
          <w:color w:val="000000"/>
          <w:sz w:val="24"/>
          <w:szCs w:val="24"/>
        </w:rPr>
        <w:t>个月，不具有</w:t>
      </w:r>
      <w:r>
        <w:rPr>
          <w:rFonts w:ascii="Times New Roman" w:hAnsi="Times New Roman" w:eastAsia="Times New Roman"/>
          <w:color w:val="000000"/>
          <w:sz w:val="24"/>
          <w:szCs w:val="24"/>
        </w:rPr>
        <w:t>2</w:t>
      </w:r>
      <w:r>
        <w:rPr>
          <w:rFonts w:ascii="宋体" w:hAnsi="宋体"/>
          <w:color w:val="000000"/>
          <w:sz w:val="24"/>
          <w:szCs w:val="24"/>
        </w:rPr>
        <w:t>年企业工作经历的专业学位研究生专业实践时间不少于一年。实践环节包括课程实验、企业实践、课题研发等形式，实践内容可根据不同的实践形式由校内导师或校内及企业导师协商决定，所完成的实践类学分应占总学分的</w:t>
      </w:r>
      <w:r>
        <w:rPr>
          <w:rFonts w:ascii="Times New Roman" w:hAnsi="Times New Roman" w:eastAsia="Times New Roman"/>
          <w:color w:val="000000"/>
          <w:sz w:val="24"/>
          <w:szCs w:val="24"/>
        </w:rPr>
        <w:t>20%</w:t>
      </w:r>
      <w:r>
        <w:rPr>
          <w:rFonts w:ascii="宋体" w:hAnsi="宋体"/>
          <w:color w:val="000000"/>
          <w:sz w:val="24"/>
          <w:szCs w:val="24"/>
        </w:rPr>
        <w:t>左右，实践成果直接服务于实践单位的技术开发、技术改造和高效生产，所提交的实践总结具有一定的深度和独到的见解。</w:t>
      </w:r>
    </w:p>
    <w:p>
      <w:pPr>
        <w:spacing w:line="360" w:lineRule="auto"/>
        <w:ind w:firstLine="480" w:firstLineChars="200"/>
        <w:rPr>
          <w:rFonts w:ascii="宋体" w:hAnsi="宋体"/>
          <w:color w:val="000000"/>
          <w:sz w:val="24"/>
          <w:szCs w:val="24"/>
        </w:rPr>
      </w:pPr>
      <w:r>
        <w:rPr>
          <w:rFonts w:ascii="宋体" w:hAnsi="宋体"/>
          <w:color w:val="000000"/>
          <w:sz w:val="24"/>
          <w:szCs w:val="24"/>
        </w:rPr>
        <w:t>非全日制专业学位研究生的专业实践可结合自身工作岗位任务展开。</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 </w:t>
      </w:r>
      <w:r>
        <w:rPr>
          <w:rFonts w:ascii="宋体" w:hAnsi="宋体"/>
          <w:b/>
          <w:bCs/>
          <w:color w:val="000000"/>
          <w:sz w:val="24"/>
          <w:szCs w:val="24"/>
        </w:rPr>
        <w:t>学位论文</w:t>
      </w:r>
      <w:r>
        <w:rPr>
          <w:rFonts w:ascii="宋体" w:hAnsi="宋体"/>
          <w:color w:val="000000"/>
          <w:sz w:val="24"/>
          <w:szCs w:val="24"/>
        </w:rPr>
        <w:t>研究工作是工程类硕士专业学位研究生综合运用所学基础知识和专业知识，在一定实践经验基础上，掌握对工程实际问题研究能力的重要手段。选题应来源于工程实际或者具有明确的工程应用背景。学位论文研究工作一般应与专业实践相结合，时间不少于1年。</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课程设置及学分要求</w:t>
      </w:r>
    </w:p>
    <w:p>
      <w:pPr>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研究生课程分为公共</w:t>
      </w:r>
      <w:r>
        <w:rPr>
          <w:rFonts w:ascii="宋体" w:hAnsi="宋体"/>
          <w:color w:val="000000"/>
          <w:sz w:val="24"/>
          <w:szCs w:val="24"/>
        </w:rPr>
        <w:t>课程、专业基础课程、选修课程和必修环节四类。公共课程包括政治理论、工程伦理、外语；专业基础课程包括数学类课程、专业基础课程；选修课程包括专业技术课程、人文素养课程、创新创业活动；必修环节包括专业实践等。</w:t>
      </w:r>
      <w:r>
        <w:rPr>
          <w:rFonts w:ascii="宋体" w:hAnsi="宋体"/>
          <w:color w:val="000000"/>
          <w:kern w:val="0"/>
          <w:sz w:val="24"/>
          <w:szCs w:val="24"/>
        </w:rPr>
        <w:t>研究生课程实行学分制，硕士研究生课程学习的总学分应不少于</w:t>
      </w:r>
      <w:r>
        <w:rPr>
          <w:rFonts w:ascii="Times New Roman" w:hAnsi="Times New Roman" w:eastAsia="Times New Roman"/>
          <w:color w:val="000000"/>
          <w:kern w:val="0"/>
          <w:sz w:val="24"/>
          <w:szCs w:val="24"/>
        </w:rPr>
        <w:t>33</w:t>
      </w:r>
      <w:r>
        <w:rPr>
          <w:rFonts w:ascii="宋体" w:hAnsi="宋体"/>
          <w:color w:val="000000"/>
          <w:kern w:val="0"/>
          <w:sz w:val="24"/>
          <w:szCs w:val="24"/>
        </w:rPr>
        <w:t>学分（其中，课程学习不少于</w:t>
      </w:r>
      <w:r>
        <w:rPr>
          <w:rFonts w:ascii="Times New Roman" w:hAnsi="Times New Roman" w:eastAsia="Times New Roman"/>
          <w:color w:val="000000"/>
          <w:kern w:val="0"/>
          <w:sz w:val="24"/>
          <w:szCs w:val="24"/>
        </w:rPr>
        <w:t>27</w:t>
      </w:r>
      <w:r>
        <w:rPr>
          <w:rFonts w:ascii="宋体" w:hAnsi="宋体"/>
          <w:color w:val="000000"/>
          <w:kern w:val="0"/>
          <w:sz w:val="24"/>
          <w:szCs w:val="24"/>
        </w:rPr>
        <w:t>学分）。数学类课程需在导师指导下从</w:t>
      </w:r>
      <w:r>
        <w:rPr>
          <w:rFonts w:ascii="Times New Roman" w:hAnsi="Times New Roman" w:eastAsia="Times New Roman"/>
          <w:color w:val="000000"/>
          <w:kern w:val="0"/>
          <w:sz w:val="24"/>
          <w:szCs w:val="24"/>
        </w:rPr>
        <w:t>6</w:t>
      </w:r>
      <w:r>
        <w:rPr>
          <w:rFonts w:ascii="宋体" w:hAnsi="宋体"/>
          <w:color w:val="000000"/>
          <w:kern w:val="0"/>
          <w:sz w:val="24"/>
          <w:szCs w:val="24"/>
        </w:rPr>
        <w:t>门中选则</w:t>
      </w:r>
      <w:r>
        <w:rPr>
          <w:rFonts w:ascii="Times New Roman" w:hAnsi="Times New Roman" w:eastAsia="Times New Roman"/>
          <w:color w:val="000000"/>
          <w:kern w:val="0"/>
          <w:sz w:val="24"/>
          <w:szCs w:val="24"/>
        </w:rPr>
        <w:t>2</w:t>
      </w:r>
      <w:r>
        <w:rPr>
          <w:rFonts w:ascii="宋体" w:hAnsi="宋体"/>
          <w:color w:val="000000"/>
          <w:kern w:val="0"/>
          <w:sz w:val="24"/>
          <w:szCs w:val="24"/>
        </w:rPr>
        <w:t>门。</w:t>
      </w:r>
      <w:r>
        <w:rPr>
          <w:rFonts w:ascii="宋体" w:hAnsi="宋体"/>
          <w:b/>
          <w:bCs/>
          <w:color w:val="000000"/>
          <w:kern w:val="0"/>
          <w:sz w:val="24"/>
          <w:szCs w:val="24"/>
        </w:rPr>
        <w:t>对于本科专业为非电子信息类专业的学生，需在老师指导下至少增选</w:t>
      </w:r>
      <w:r>
        <w:rPr>
          <w:rFonts w:ascii="Times New Roman" w:hAnsi="Times New Roman" w:eastAsia="Times New Roman"/>
          <w:b/>
          <w:bCs/>
          <w:color w:val="000000"/>
          <w:kern w:val="0"/>
          <w:sz w:val="24"/>
          <w:szCs w:val="24"/>
        </w:rPr>
        <w:t>1</w:t>
      </w:r>
      <w:r>
        <w:rPr>
          <w:rFonts w:ascii="宋体" w:hAnsi="宋体"/>
          <w:b/>
          <w:bCs/>
          <w:color w:val="000000"/>
          <w:kern w:val="0"/>
          <w:sz w:val="24"/>
          <w:szCs w:val="24"/>
        </w:rPr>
        <w:t>门电子信息类本科专业或研究生课程</w:t>
      </w:r>
      <w:r>
        <w:rPr>
          <w:rFonts w:ascii="宋体" w:hAnsi="宋体"/>
          <w:color w:val="000000"/>
          <w:kern w:val="0"/>
          <w:sz w:val="24"/>
          <w:szCs w:val="24"/>
        </w:rPr>
        <w:t>。具体课程设置见附表。研究生个人培养方案课程选择必须在导师指导下选修。</w:t>
      </w:r>
    </w:p>
    <w:p>
      <w:pPr>
        <w:spacing w:before="40" w:after="40" w:line="300" w:lineRule="auto"/>
        <w:ind w:firstLine="480"/>
        <w:jc w:val="center"/>
        <w:rPr>
          <w:rFonts w:ascii="宋体" w:hAnsi="宋体"/>
          <w:b/>
          <w:bCs/>
          <w:color w:val="000000"/>
          <w:kern w:val="0"/>
          <w:sz w:val="24"/>
          <w:szCs w:val="24"/>
        </w:rPr>
      </w:pPr>
    </w:p>
    <w:p>
      <w:pPr>
        <w:spacing w:before="40" w:after="40" w:line="300" w:lineRule="auto"/>
        <w:ind w:firstLine="480"/>
        <w:jc w:val="center"/>
        <w:rPr>
          <w:rFonts w:ascii="宋体" w:hAnsi="宋体"/>
          <w:b/>
          <w:bCs/>
          <w:color w:val="000000"/>
          <w:kern w:val="0"/>
          <w:sz w:val="24"/>
          <w:szCs w:val="24"/>
        </w:rPr>
      </w:pPr>
    </w:p>
    <w:p>
      <w:pPr>
        <w:spacing w:before="40" w:after="40" w:line="300" w:lineRule="auto"/>
        <w:ind w:firstLine="480"/>
        <w:jc w:val="center"/>
        <w:rPr>
          <w:rFonts w:ascii="宋体" w:hAnsi="宋体"/>
          <w:b/>
          <w:bCs/>
          <w:color w:val="000000"/>
          <w:kern w:val="0"/>
          <w:sz w:val="24"/>
          <w:szCs w:val="24"/>
        </w:rPr>
      </w:pPr>
      <w:bookmarkStart w:id="0" w:name="_GoBack"/>
      <w:bookmarkEnd w:id="0"/>
    </w:p>
    <w:p>
      <w:pPr>
        <w:spacing w:before="40" w:after="40" w:line="300" w:lineRule="auto"/>
        <w:ind w:firstLine="480"/>
        <w:jc w:val="center"/>
        <w:rPr>
          <w:rFonts w:ascii="宋体" w:hAnsi="宋体"/>
          <w:b/>
          <w:bCs/>
          <w:color w:val="000000"/>
          <w:kern w:val="0"/>
          <w:sz w:val="24"/>
          <w:szCs w:val="24"/>
        </w:rPr>
      </w:pPr>
    </w:p>
    <w:p>
      <w:pPr>
        <w:spacing w:before="40" w:after="40" w:line="300" w:lineRule="auto"/>
        <w:ind w:firstLine="480"/>
        <w:jc w:val="center"/>
        <w:rPr>
          <w:rFonts w:ascii="宋体" w:hAnsi="宋体"/>
          <w:b/>
          <w:bCs/>
          <w:color w:val="000000"/>
          <w:kern w:val="0"/>
          <w:sz w:val="24"/>
          <w:szCs w:val="24"/>
        </w:rPr>
      </w:pPr>
      <w:r>
        <w:rPr>
          <w:rFonts w:ascii="宋体" w:hAnsi="宋体"/>
          <w:b/>
          <w:bCs/>
          <w:color w:val="000000"/>
          <w:kern w:val="0"/>
          <w:sz w:val="24"/>
          <w:szCs w:val="24"/>
        </w:rPr>
        <w:t>电子信息</w:t>
      </w:r>
      <w:r>
        <w:rPr>
          <w:rFonts w:hint="eastAsia" w:ascii="宋体" w:hAnsi="宋体"/>
          <w:b/>
          <w:bCs/>
          <w:color w:val="000000"/>
          <w:kern w:val="0"/>
          <w:sz w:val="24"/>
          <w:szCs w:val="24"/>
          <w:lang w:eastAsia="zh-CN"/>
        </w:rPr>
        <w:t>（</w:t>
      </w:r>
      <w:r>
        <w:rPr>
          <w:rFonts w:hint="eastAsia" w:ascii="宋体" w:hAnsi="宋体"/>
          <w:b/>
          <w:bCs/>
          <w:color w:val="000000"/>
          <w:kern w:val="0"/>
          <w:sz w:val="24"/>
          <w:szCs w:val="24"/>
          <w:lang w:val="en-US" w:eastAsia="zh-CN"/>
        </w:rPr>
        <w:t>非全日制</w:t>
      </w:r>
      <w:r>
        <w:rPr>
          <w:rFonts w:hint="eastAsia" w:ascii="宋体" w:hAnsi="宋体"/>
          <w:b/>
          <w:bCs/>
          <w:color w:val="000000"/>
          <w:kern w:val="0"/>
          <w:sz w:val="24"/>
          <w:szCs w:val="24"/>
          <w:lang w:eastAsia="zh-CN"/>
        </w:rPr>
        <w:t>）</w:t>
      </w:r>
      <w:r>
        <w:rPr>
          <w:rFonts w:ascii="宋体" w:hAnsi="宋体"/>
          <w:b/>
          <w:bCs/>
          <w:color w:val="000000"/>
          <w:kern w:val="0"/>
          <w:sz w:val="24"/>
          <w:szCs w:val="24"/>
        </w:rPr>
        <w:t>专业学位硕士研究生</w:t>
      </w:r>
    </w:p>
    <w:p>
      <w:pPr>
        <w:spacing w:before="40" w:after="40" w:line="300" w:lineRule="auto"/>
        <w:ind w:firstLine="480"/>
        <w:jc w:val="center"/>
        <w:rPr>
          <w:rFonts w:ascii="宋体" w:hAnsi="宋体"/>
          <w:b/>
          <w:bCs/>
          <w:color w:val="000000"/>
          <w:kern w:val="0"/>
          <w:sz w:val="24"/>
          <w:szCs w:val="24"/>
        </w:rPr>
      </w:pPr>
      <w:r>
        <w:rPr>
          <w:rFonts w:ascii="宋体" w:hAnsi="宋体"/>
          <w:b/>
          <w:bCs/>
          <w:color w:val="000000"/>
          <w:kern w:val="0"/>
          <w:sz w:val="24"/>
          <w:szCs w:val="24"/>
        </w:rPr>
        <w:t>课程设置与学时分配表</w:t>
      </w:r>
    </w:p>
    <w:tbl>
      <w:tblPr>
        <w:tblStyle w:val="5"/>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525"/>
        <w:gridCol w:w="690"/>
        <w:gridCol w:w="1397"/>
        <w:gridCol w:w="2548"/>
        <w:gridCol w:w="840"/>
        <w:gridCol w:w="540"/>
        <w:gridCol w:w="615"/>
        <w:gridCol w:w="112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2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b/>
                <w:bCs/>
                <w:color w:val="000000"/>
                <w:kern w:val="0"/>
                <w:szCs w:val="21"/>
              </w:rPr>
            </w:pPr>
            <w:r>
              <w:rPr>
                <w:rFonts w:ascii="宋体" w:hAnsi="宋体"/>
                <w:b/>
                <w:bCs/>
                <w:color w:val="000000"/>
                <w:kern w:val="0"/>
                <w:szCs w:val="21"/>
              </w:rPr>
              <w:t>课</w:t>
            </w:r>
            <w:r>
              <w:rPr>
                <w:rFonts w:ascii="Times New Roman" w:hAnsi="Times New Roman" w:eastAsia="Times New Roman"/>
                <w:b/>
                <w:bCs/>
                <w:color w:val="000000"/>
                <w:kern w:val="0"/>
                <w:szCs w:val="21"/>
              </w:rPr>
              <w:t xml:space="preserve"> </w:t>
            </w:r>
            <w:r>
              <w:rPr>
                <w:rFonts w:ascii="宋体" w:hAnsi="宋体"/>
                <w:b/>
                <w:bCs/>
                <w:color w:val="000000"/>
                <w:kern w:val="0"/>
                <w:szCs w:val="21"/>
              </w:rPr>
              <w:t>程</w:t>
            </w:r>
          </w:p>
          <w:p>
            <w:pPr>
              <w:spacing w:before="40" w:after="40" w:line="312" w:lineRule="exact"/>
              <w:jc w:val="center"/>
              <w:rPr>
                <w:rFonts w:ascii="宋体" w:hAnsi="宋体"/>
                <w:b/>
                <w:bCs/>
                <w:color w:val="000000"/>
                <w:kern w:val="0"/>
                <w:szCs w:val="21"/>
              </w:rPr>
            </w:pPr>
            <w:r>
              <w:rPr>
                <w:rFonts w:ascii="宋体" w:hAnsi="宋体"/>
                <w:b/>
                <w:bCs/>
                <w:color w:val="000000"/>
                <w:kern w:val="0"/>
                <w:szCs w:val="21"/>
              </w:rPr>
              <w:t>类</w:t>
            </w:r>
            <w:r>
              <w:rPr>
                <w:rFonts w:ascii="Times New Roman" w:hAnsi="Times New Roman" w:eastAsia="Times New Roman"/>
                <w:b/>
                <w:bCs/>
                <w:color w:val="000000"/>
                <w:kern w:val="0"/>
                <w:szCs w:val="21"/>
              </w:rPr>
              <w:t xml:space="preserve"> </w:t>
            </w:r>
            <w:r>
              <w:rPr>
                <w:rFonts w:ascii="宋体" w:hAnsi="宋体"/>
                <w:b/>
                <w:bCs/>
                <w:color w:val="000000"/>
                <w:kern w:val="0"/>
                <w:szCs w:val="21"/>
              </w:rPr>
              <w:t>别</w:t>
            </w:r>
          </w:p>
        </w:tc>
        <w:tc>
          <w:tcPr>
            <w:tcW w:w="13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课程</w:t>
            </w:r>
          </w:p>
          <w:p>
            <w:pPr>
              <w:spacing w:before="40" w:after="40" w:line="312" w:lineRule="exact"/>
              <w:jc w:val="center"/>
              <w:rPr>
                <w:rFonts w:ascii="宋体" w:hAnsi="宋体"/>
                <w:b/>
                <w:bCs/>
                <w:color w:val="000000"/>
                <w:kern w:val="0"/>
                <w:szCs w:val="21"/>
              </w:rPr>
            </w:pPr>
            <w:r>
              <w:rPr>
                <w:rFonts w:ascii="宋体" w:hAnsi="宋体"/>
                <w:b/>
                <w:bCs/>
                <w:color w:val="000000"/>
                <w:kern w:val="0"/>
                <w:szCs w:val="21"/>
              </w:rPr>
              <w:t>编号</w:t>
            </w:r>
          </w:p>
        </w:tc>
        <w:tc>
          <w:tcPr>
            <w:tcW w:w="25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课</w:t>
            </w:r>
            <w:r>
              <w:rPr>
                <w:rFonts w:ascii="Times New Roman" w:hAnsi="Times New Roman" w:eastAsia="Times New Roman"/>
                <w:b/>
                <w:bCs/>
                <w:color w:val="000000"/>
                <w:kern w:val="0"/>
                <w:szCs w:val="21"/>
              </w:rPr>
              <w:t xml:space="preserve"> </w:t>
            </w:r>
            <w:r>
              <w:rPr>
                <w:rFonts w:ascii="宋体" w:hAnsi="宋体"/>
                <w:b/>
                <w:bCs/>
                <w:color w:val="000000"/>
                <w:kern w:val="0"/>
                <w:szCs w:val="21"/>
              </w:rPr>
              <w:t>程</w:t>
            </w:r>
            <w:r>
              <w:rPr>
                <w:rFonts w:ascii="Times New Roman" w:hAnsi="Times New Roman" w:eastAsia="Times New Roman"/>
                <w:b/>
                <w:bCs/>
                <w:color w:val="000000"/>
                <w:kern w:val="0"/>
                <w:szCs w:val="21"/>
              </w:rPr>
              <w:t xml:space="preserve"> </w:t>
            </w:r>
            <w:r>
              <w:rPr>
                <w:rFonts w:ascii="宋体" w:hAnsi="宋体"/>
                <w:b/>
                <w:bCs/>
                <w:color w:val="000000"/>
                <w:kern w:val="0"/>
                <w:szCs w:val="21"/>
              </w:rPr>
              <w:t>名</w:t>
            </w:r>
            <w:r>
              <w:rPr>
                <w:rFonts w:ascii="Times New Roman" w:hAnsi="Times New Roman" w:eastAsia="Times New Roman"/>
                <w:b/>
                <w:bCs/>
                <w:color w:val="000000"/>
                <w:kern w:val="0"/>
                <w:szCs w:val="21"/>
              </w:rPr>
              <w:t xml:space="preserve"> </w:t>
            </w:r>
            <w:r>
              <w:rPr>
                <w:rFonts w:ascii="宋体" w:hAnsi="宋体"/>
                <w:b/>
                <w:bCs/>
                <w:color w:val="000000"/>
                <w:kern w:val="0"/>
                <w:szCs w:val="21"/>
              </w:rPr>
              <w:t>称</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课时</w:t>
            </w:r>
            <w:r>
              <w:rPr>
                <w:rFonts w:ascii="Times New Roman" w:hAnsi="Times New Roman" w:eastAsia="Times New Roman"/>
                <w:b/>
                <w:bCs/>
                <w:color w:val="000000"/>
                <w:kern w:val="0"/>
                <w:szCs w:val="21"/>
              </w:rPr>
              <w:t>/</w:t>
            </w:r>
            <w:r>
              <w:rPr>
                <w:rFonts w:ascii="宋体" w:hAnsi="宋体"/>
                <w:b/>
                <w:bCs/>
                <w:color w:val="000000"/>
                <w:kern w:val="0"/>
                <w:szCs w:val="21"/>
              </w:rPr>
              <w:t>学分</w:t>
            </w:r>
          </w:p>
        </w:tc>
        <w:tc>
          <w:tcPr>
            <w:tcW w:w="11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开课学期</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211" w:firstLineChars="100"/>
              <w:rPr>
                <w:rFonts w:ascii="宋体" w:hAnsi="宋体"/>
                <w:b/>
                <w:bCs/>
                <w:color w:val="000000"/>
                <w:kern w:val="0"/>
                <w:szCs w:val="21"/>
              </w:rPr>
            </w:pPr>
            <w:r>
              <w:rPr>
                <w:rFonts w:ascii="宋体" w:hAnsi="宋体"/>
                <w:b/>
                <w:bCs/>
                <w:color w:val="000000"/>
                <w:kern w:val="0"/>
                <w:szCs w:val="21"/>
              </w:rPr>
              <w:t>任</w:t>
            </w:r>
            <w:r>
              <w:rPr>
                <w:rFonts w:ascii="Times New Roman" w:hAnsi="Times New Roman" w:eastAsia="Times New Roman"/>
                <w:b/>
                <w:bCs/>
                <w:color w:val="000000"/>
                <w:kern w:val="0"/>
                <w:szCs w:val="21"/>
              </w:rPr>
              <w:t xml:space="preserve"> </w:t>
            </w:r>
            <w:r>
              <w:rPr>
                <w:rFonts w:ascii="宋体" w:hAnsi="宋体"/>
                <w:b/>
                <w:bCs/>
                <w:color w:val="000000"/>
                <w:kern w:val="0"/>
                <w:szCs w:val="21"/>
              </w:rPr>
              <w:t>课</w:t>
            </w:r>
          </w:p>
          <w:p>
            <w:pPr>
              <w:spacing w:before="40" w:after="40" w:line="312" w:lineRule="exact"/>
              <w:ind w:firstLine="211" w:firstLineChars="100"/>
              <w:rPr>
                <w:rFonts w:ascii="宋体" w:hAnsi="宋体"/>
                <w:b/>
                <w:bCs/>
                <w:color w:val="000000"/>
                <w:kern w:val="0"/>
                <w:szCs w:val="21"/>
              </w:rPr>
            </w:pPr>
            <w:r>
              <w:rPr>
                <w:rFonts w:ascii="宋体" w:hAnsi="宋体"/>
                <w:b/>
                <w:bCs/>
                <w:color w:val="000000"/>
                <w:kern w:val="0"/>
                <w:szCs w:val="21"/>
              </w:rPr>
              <w:t>教</w:t>
            </w:r>
            <w:r>
              <w:rPr>
                <w:rFonts w:ascii="Times New Roman" w:hAnsi="Times New Roman" w:eastAsia="Times New Roman"/>
                <w:b/>
                <w:bCs/>
                <w:color w:val="000000"/>
                <w:kern w:val="0"/>
                <w:szCs w:val="21"/>
              </w:rPr>
              <w:t xml:space="preserve"> </w:t>
            </w:r>
            <w:r>
              <w:rPr>
                <w:rFonts w:ascii="宋体" w:hAnsi="宋体"/>
                <w:b/>
                <w:bCs/>
                <w:color w:val="000000"/>
                <w:kern w:val="0"/>
                <w:szCs w:val="21"/>
              </w:rPr>
              <w:t>师</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备</w:t>
            </w:r>
            <w:r>
              <w:rPr>
                <w:rFonts w:ascii="Times New Roman" w:hAnsi="Times New Roman" w:eastAsia="Times New Roman"/>
                <w:b/>
                <w:bCs/>
                <w:color w:val="000000"/>
                <w:kern w:val="0"/>
                <w:szCs w:val="21"/>
              </w:rPr>
              <w:t xml:space="preserve"> </w:t>
            </w:r>
            <w:r>
              <w:rPr>
                <w:rFonts w:ascii="宋体" w:hAnsi="宋体"/>
                <w:b/>
                <w:bCs/>
                <w:color w:val="000000"/>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254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b/>
                <w:bCs/>
                <w:color w:val="000000"/>
                <w:kern w:val="0"/>
                <w:szCs w:val="21"/>
              </w:rPr>
            </w:pPr>
            <w:r>
              <w:rPr>
                <w:rFonts w:ascii="Times New Roman" w:hAnsi="Times New Roman" w:eastAsia="Times New Roman"/>
                <w:b/>
                <w:bCs/>
                <w:color w:val="000000"/>
                <w:kern w:val="0"/>
                <w:szCs w:val="21"/>
              </w:rPr>
              <w:t>1</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b/>
                <w:bCs/>
                <w:color w:val="000000"/>
                <w:kern w:val="0"/>
                <w:szCs w:val="21"/>
              </w:rPr>
            </w:pPr>
            <w:r>
              <w:rPr>
                <w:rFonts w:ascii="Times New Roman" w:hAnsi="Times New Roman" w:eastAsia="Times New Roman"/>
                <w:b/>
                <w:bCs/>
                <w:color w:val="000000"/>
                <w:kern w:val="0"/>
                <w:szCs w:val="21"/>
              </w:rPr>
              <w:t>2</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210" w:firstLineChars="100"/>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kern w:val="0"/>
                <w:szCs w:val="21"/>
              </w:rPr>
              <w:t>公共</w:t>
            </w:r>
            <w:r>
              <w:rPr>
                <w:rFonts w:ascii="宋体" w:hAnsi="宋体"/>
                <w:color w:val="000000"/>
                <w:szCs w:val="21"/>
              </w:rPr>
              <w:t>课程</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DG2802004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工程伦理</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马教部</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DG2802001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中国特色社会主义理论与实践研究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36/2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马教部</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DG2802006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自然辩证法概论</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马教部</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DG1102004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Times New Roman" w:hAnsi="Times New Roman" w:eastAsia="Times New Roman"/>
                <w:color w:val="000000"/>
                <w:kern w:val="0"/>
                <w:szCs w:val="21"/>
              </w:rPr>
            </w:pPr>
            <w:r>
              <w:rPr>
                <w:rFonts w:ascii="宋体" w:hAnsi="宋体"/>
                <w:color w:val="000000"/>
                <w:kern w:val="0"/>
                <w:szCs w:val="21"/>
              </w:rPr>
              <w:t>通用学术英语</w:t>
            </w:r>
            <w:r>
              <w:rPr>
                <w:rFonts w:ascii="Times New Roman" w:hAnsi="Times New Roman" w:eastAsia="Times New Roman"/>
                <w:color w:val="000000"/>
                <w:kern w:val="0"/>
                <w:szCs w:val="21"/>
              </w:rPr>
              <w:t xml:space="preserve"> I</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外语学院</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等线"/>
                <w:color w:val="000000"/>
                <w:kern w:val="0"/>
                <w:szCs w:val="21"/>
              </w:rPr>
            </w:pPr>
            <w:r>
              <w:rPr>
                <w:rFonts w:ascii="Times New Roman" w:hAnsi="Times New Roman" w:eastAsia="Times New Roman"/>
                <w:color w:val="000000"/>
                <w:kern w:val="0"/>
                <w:szCs w:val="21"/>
              </w:rPr>
              <w:t>DG1102001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hint="eastAsia" w:ascii="宋体" w:hAnsi="宋体"/>
                <w:color w:val="000000"/>
                <w:kern w:val="0"/>
                <w:szCs w:val="21"/>
              </w:rPr>
              <w:t>工程</w:t>
            </w:r>
            <w:r>
              <w:rPr>
                <w:rFonts w:ascii="宋体" w:hAnsi="宋体"/>
                <w:color w:val="000000"/>
                <w:kern w:val="0"/>
                <w:szCs w:val="21"/>
              </w:rPr>
              <w:t>学术英语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等线"/>
                <w:color w:val="000000"/>
                <w:kern w:val="0"/>
                <w:szCs w:val="21"/>
              </w:rPr>
            </w:pPr>
            <w:r>
              <w:rPr>
                <w:rFonts w:hint="eastAsia" w:ascii="Times New Roman" w:hAnsi="Times New Roman" w:eastAsia="等线"/>
                <w:color w:val="000000"/>
                <w:kern w:val="0"/>
                <w:szCs w:val="21"/>
              </w:rPr>
              <w:t>32/</w:t>
            </w:r>
            <w:r>
              <w:rPr>
                <w:rFonts w:ascii="Times New Roman" w:hAnsi="Times New Roman" w:eastAsia="等线"/>
                <w:color w:val="000000"/>
                <w:kern w:val="0"/>
                <w:szCs w:val="21"/>
              </w:rPr>
              <w:t>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r>
              <w:rPr>
                <w:rFonts w:hint="eastAsia" w:ascii="宋体" w:hAnsi="宋体"/>
                <w:color w:val="00000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hint="eastAsia" w:ascii="宋体" w:hAnsi="宋体"/>
                <w:color w:val="000000"/>
                <w:kern w:val="0"/>
                <w:szCs w:val="21"/>
              </w:rPr>
              <w:t>外语学院</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szCs w:val="21"/>
              </w:rPr>
              <w:t>专业基础课程</w:t>
            </w: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r>
              <w:rPr>
                <w:rFonts w:ascii="宋体" w:hAnsi="宋体"/>
                <w:color w:val="000000"/>
                <w:szCs w:val="21"/>
              </w:rPr>
              <w:t>数学类课程</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DG2202009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应用数理统计基础</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理学院</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kern w:val="0"/>
                <w:szCs w:val="21"/>
              </w:rPr>
            </w:pPr>
            <w:r>
              <w:rPr>
                <w:rFonts w:ascii="宋体" w:hAnsi="宋体"/>
                <w:color w:val="000000"/>
                <w:kern w:val="0"/>
                <w:szCs w:val="21"/>
              </w:rPr>
              <w:t>必修（导师指导下选择其中的</w:t>
            </w:r>
            <w:r>
              <w:rPr>
                <w:rFonts w:ascii="Times New Roman" w:hAnsi="Times New Roman" w:eastAsia="Times New Roman"/>
                <w:color w:val="000000"/>
                <w:kern w:val="0"/>
                <w:szCs w:val="21"/>
              </w:rPr>
              <w:t>2</w:t>
            </w:r>
            <w:r>
              <w:rPr>
                <w:rFonts w:ascii="宋体" w:hAnsi="宋体"/>
                <w:color w:val="000000"/>
                <w:kern w:val="0"/>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多元统计分析</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积分变换及其应用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DG2202012</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微软雅黑" w:hAnsi="微软雅黑" w:eastAsia="微软雅黑"/>
                <w:color w:val="000000"/>
                <w:kern w:val="0"/>
                <w:szCs w:val="21"/>
              </w:rPr>
            </w:pPr>
            <w:r>
              <w:rPr>
                <w:rFonts w:ascii="宋体" w:hAnsi="宋体"/>
                <w:color w:val="000000"/>
                <w:kern w:val="0"/>
                <w:szCs w:val="21"/>
              </w:rPr>
              <w:t>数值计算</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最优化理论及应用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宋体" w:hAnsi="宋体"/>
                <w:color w:val="000000"/>
                <w:szCs w:val="21"/>
              </w:rPr>
            </w:pPr>
            <w:r>
              <w:rPr>
                <w:rFonts w:ascii="宋体" w:hAnsi="宋体"/>
                <w:color w:val="000000"/>
                <w:szCs w:val="21"/>
              </w:rPr>
              <w:t>DG2202014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矩阵论</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应用随机过程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szCs w:val="21"/>
              </w:rPr>
              <w:t>专业课程</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人工智能</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r>
              <w:rPr>
                <w:rFonts w:ascii="Times New Roman" w:hAnsi="Times New Roman" w:eastAsia="Times New Roman"/>
                <w:color w:val="000000"/>
                <w:kern w:val="0"/>
                <w:szCs w:val="21"/>
              </w:rPr>
              <w:t>4</w:t>
            </w:r>
            <w:r>
              <w:rPr>
                <w:rFonts w:ascii="宋体" w:hAnsi="宋体"/>
                <w:color w:val="000000"/>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模式识别</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大数据与数据挖掘（案例教学</w:t>
            </w:r>
            <w:r>
              <w:rPr>
                <w:rFonts w:ascii="Times New Roman" w:hAnsi="Times New Roman" w:eastAsia="Times New Roman"/>
                <w:color w:val="000000"/>
                <w:kern w:val="0"/>
                <w:szCs w:val="21"/>
              </w:rPr>
              <w:t>/</w:t>
            </w:r>
            <w:r>
              <w:rPr>
                <w:rFonts w:ascii="宋体" w:hAnsi="宋体"/>
                <w:color w:val="000000"/>
                <w:kern w:val="0"/>
                <w:szCs w:val="21"/>
              </w:rPr>
              <w:t>行业专家参与）</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机器视觉（实验设计课程）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分布式系统与云计算</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kern w:val="0"/>
                <w:szCs w:val="21"/>
              </w:rPr>
            </w:pPr>
            <w:r>
              <w:rPr>
                <w:rFonts w:ascii="宋体" w:hAnsi="宋体"/>
                <w:color w:val="000000"/>
                <w:kern w:val="0"/>
                <w:szCs w:val="21"/>
              </w:rPr>
              <w:t>神经网络及其应用（案例教学</w:t>
            </w:r>
            <w:r>
              <w:rPr>
                <w:rFonts w:ascii="Times New Roman" w:hAnsi="Times New Roman" w:eastAsia="Times New Roman"/>
                <w:color w:val="000000"/>
                <w:kern w:val="0"/>
                <w:szCs w:val="21"/>
              </w:rPr>
              <w:t>/</w:t>
            </w:r>
            <w:r>
              <w:rPr>
                <w:rFonts w:ascii="宋体" w:hAnsi="宋体"/>
                <w:color w:val="000000"/>
                <w:kern w:val="0"/>
                <w:szCs w:val="21"/>
              </w:rPr>
              <w:t>行业专家参与）</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kern w:val="0"/>
                <w:szCs w:val="21"/>
              </w:rPr>
            </w:pPr>
            <w:r>
              <w:rPr>
                <w:rFonts w:ascii="宋体" w:hAnsi="宋体"/>
                <w:color w:val="000000"/>
                <w:szCs w:val="21"/>
              </w:rPr>
              <w:t>智能检测技术</w:t>
            </w:r>
            <w:r>
              <w:rPr>
                <w:rFonts w:ascii="宋体" w:hAnsi="宋体"/>
                <w:color w:val="000000"/>
                <w:kern w:val="0"/>
                <w:szCs w:val="21"/>
              </w:rPr>
              <w:t>（实验设计课程）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DZ0302009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szCs w:val="21"/>
              </w:rPr>
            </w:pPr>
            <w:r>
              <w:rPr>
                <w:rFonts w:ascii="宋体" w:hAnsi="宋体"/>
                <w:color w:val="000000"/>
                <w:szCs w:val="21"/>
              </w:rPr>
              <w:t>数字信号处理</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NZ0302003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Times New Roman" w:hAnsi="Times New Roman" w:eastAsia="Times New Roman"/>
                <w:color w:val="000000"/>
                <w:szCs w:val="21"/>
              </w:rPr>
            </w:pPr>
            <w:r>
              <w:rPr>
                <w:rFonts w:ascii="宋体" w:hAnsi="宋体"/>
                <w:color w:val="000000"/>
                <w:szCs w:val="21"/>
              </w:rPr>
              <w:t>机器人控制技术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 w:val="18"/>
                <w:szCs w:val="18"/>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p>
            <w:pPr>
              <w:spacing w:before="40" w:after="40" w:line="312" w:lineRule="exact"/>
              <w:jc w:val="center"/>
              <w:rPr>
                <w:rFonts w:ascii="宋体" w:hAnsi="宋体"/>
                <w:color w:val="000000"/>
                <w:szCs w:val="21"/>
              </w:rPr>
            </w:pPr>
            <w:r>
              <w:rPr>
                <w:rFonts w:ascii="宋体" w:hAnsi="宋体"/>
                <w:color w:val="000000"/>
                <w:szCs w:val="21"/>
              </w:rPr>
              <w:t>选修课程</w:t>
            </w: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szCs w:val="21"/>
              </w:rPr>
              <w:t>DG0402002</w:t>
            </w:r>
            <w:r>
              <w:rPr>
                <w:rFonts w:hint="eastAsia" w:ascii="宋体" w:hAnsi="宋体"/>
                <w:color w:val="000000"/>
                <w:szCs w:val="21"/>
              </w:rPr>
              <w:t xml:space="preserve"> </w:t>
            </w:r>
          </w:p>
          <w:p>
            <w:pPr>
              <w:spacing w:before="40" w:after="40" w:line="312" w:lineRule="exact"/>
              <w:jc w:val="center"/>
              <w:rPr>
                <w:rFonts w:ascii="宋体" w:hAnsi="宋体"/>
                <w:color w:val="000000"/>
                <w:szCs w:val="21"/>
              </w:rPr>
            </w:pPr>
            <w:r>
              <w:rPr>
                <w:rFonts w:cs="宋体"/>
                <w:color w:val="000000"/>
                <w:kern w:val="0"/>
                <w:szCs w:val="21"/>
              </w:rPr>
              <w:t>DG0302001</w:t>
            </w:r>
            <w:r>
              <w:rPr>
                <w:rFonts w:hint="eastAsia" w:cs="宋体"/>
                <w:color w:val="000000"/>
                <w:kern w:val="0"/>
                <w:szCs w:val="21"/>
              </w:rPr>
              <w:t>（电气）</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专业英语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各学院自行开设</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r>
              <w:rPr>
                <w:rFonts w:ascii="Times New Roman" w:hAnsi="Times New Roman" w:eastAsia="Times New Roman"/>
                <w:color w:val="000000"/>
                <w:kern w:val="0"/>
                <w:szCs w:val="21"/>
              </w:rPr>
              <w:t>11</w:t>
            </w:r>
            <w:r>
              <w:rPr>
                <w:rFonts w:ascii="宋体" w:hAnsi="宋体"/>
                <w:color w:val="000000"/>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传感器网络原理与应用（校企）</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高级计算机网络</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olor w:val="000000"/>
                <w:szCs w:val="21"/>
                <w:lang w:val="en-US" w:eastAsia="zh-CN"/>
              </w:rPr>
            </w:pPr>
            <w:r>
              <w:rPr>
                <w:rFonts w:ascii="Times New Roman" w:hAnsi="Times New Roman" w:eastAsia="Times New Roman"/>
                <w:color w:val="000000"/>
                <w:szCs w:val="21"/>
              </w:rPr>
              <w:t>DG040200</w:t>
            </w:r>
            <w:r>
              <w:rPr>
                <w:rFonts w:hint="eastAsia" w:ascii="Times New Roman" w:hAnsi="Times New Roman"/>
                <w:color w:val="000000"/>
                <w:szCs w:val="21"/>
                <w:lang w:val="en-US" w:eastAsia="zh-CN"/>
              </w:rPr>
              <w:t>2</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高级软件工程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高级数据库原理</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机器嗅觉</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图像处理与虚拟现实</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知识工程与知识发现</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嵌入式操作系统及应用（校企）</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NX0402022</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文献检索</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hint="eastAsia" w:ascii="等线" w:hAnsi="等线" w:eastAsia="等线"/>
                <w:color w:val="000000"/>
                <w:kern w:val="0"/>
                <w:szCs w:val="21"/>
              </w:rPr>
              <w:t>16</w:t>
            </w:r>
            <w:r>
              <w:rPr>
                <w:rFonts w:ascii="Times New Roman" w:hAnsi="Times New Roman" w:eastAsia="Times New Roman"/>
                <w:color w:val="000000"/>
                <w:kern w:val="0"/>
                <w:szCs w:val="21"/>
              </w:rPr>
              <w:t>/</w:t>
            </w:r>
            <w:r>
              <w:rPr>
                <w:rFonts w:hint="eastAsia" w:ascii="等线" w:hAnsi="等线" w:eastAsia="等线"/>
                <w:color w:val="000000"/>
                <w:kern w:val="0"/>
                <w:szCs w:val="21"/>
              </w:rPr>
              <w:t>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信息系统安全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电子信息工程学科前沿与技术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16/</w:t>
            </w:r>
            <w:r>
              <w:rPr>
                <w:rFonts w:hint="eastAsia" w:ascii="宋体" w:hAnsi="宋体"/>
                <w:color w:val="000000"/>
                <w:sz w:val="22"/>
              </w:rPr>
              <w:t>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w:t>
            </w:r>
            <w:r>
              <w:rPr>
                <w:rFonts w:hint="eastAsia" w:ascii="宋体" w:hAnsi="宋体"/>
                <w:color w:val="000000"/>
                <w:sz w:val="22"/>
              </w:rPr>
              <w:t>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机器学习与应用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hint="eastAsia" w:ascii="宋体" w:hAnsi="宋体"/>
                <w:color w:val="000000"/>
                <w:sz w:val="22"/>
              </w:rPr>
              <w:t>NX0302037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信号检测与感知</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智能制造与云制造</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NX0302005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现代电力电子技术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现代运动控制系统</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5G与工业互联网</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人工智能计算硬件技术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NZ0302004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多智能体制造与集成</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高端装备可靠性分析</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NX2202035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半导体器件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NX2202036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工程微分几何</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NX2202037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光电子学与光电子器件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微软雅黑" w:hAnsi="微软雅黑" w:eastAsia="微软雅黑"/>
                <w:color w:val="000000"/>
                <w:szCs w:val="21"/>
              </w:rPr>
            </w:pPr>
            <w:r>
              <w:rPr>
                <w:rFonts w:ascii="Times New Roman" w:hAnsi="Times New Roman" w:eastAsia="Times New Roman"/>
                <w:color w:val="000000"/>
                <w:sz w:val="24"/>
                <w:szCs w:val="24"/>
              </w:rPr>
              <w:t xml:space="preserve"> </w:t>
            </w:r>
            <w:r>
              <w:rPr>
                <w:rFonts w:ascii="Times New Roman" w:hAnsi="Times New Roman" w:eastAsia="Times New Roman"/>
                <w:color w:val="000000"/>
                <w:szCs w:val="21"/>
              </w:rPr>
              <w:t>NX2202038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集成电路制造工艺</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color w:val="000000"/>
                <w:szCs w:val="21"/>
                <w:lang w:val="en-US"/>
              </w:rPr>
            </w:pPr>
            <w:r>
              <w:rPr>
                <w:rFonts w:ascii="Times New Roman" w:hAnsi="Times New Roman" w:eastAsia="Times New Roman"/>
                <w:color w:val="000000"/>
                <w:szCs w:val="21"/>
                <w:highlight w:val="none"/>
              </w:rPr>
              <w:t>NX22020</w:t>
            </w:r>
            <w:r>
              <w:rPr>
                <w:rFonts w:hint="eastAsia" w:ascii="Times New Roman" w:hAnsi="Times New Roman"/>
                <w:color w:val="000000"/>
                <w:szCs w:val="21"/>
                <w:highlight w:val="none"/>
                <w:lang w:val="en-US" w:eastAsia="zh-CN"/>
              </w:rPr>
              <w:t>06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微传感器与微执行器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NX2202040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微机电系统设计与加工</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NX1502012</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车辆状态监测技术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NX1502007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Times New Roman"/>
                <w:color w:val="000000"/>
                <w:sz w:val="22"/>
              </w:rPr>
            </w:pPr>
            <w:r>
              <w:rPr>
                <w:rFonts w:ascii="宋体" w:hAnsi="宋体"/>
                <w:color w:val="000000"/>
                <w:sz w:val="22"/>
              </w:rPr>
              <w:t>车地无线传输技术</w:t>
            </w:r>
            <w:r>
              <w:rPr>
                <w:rFonts w:ascii="Times New Roman" w:hAnsi="Times New Roman" w:eastAsia="Times New Roman"/>
                <w:color w:val="000000"/>
                <w:sz w:val="22"/>
              </w:rPr>
              <w:t xml:space="preserve"> </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 w:val="22"/>
              </w:rPr>
            </w:pPr>
            <w:r>
              <w:rPr>
                <w:rFonts w:ascii="Times New Roman" w:hAnsi="Times New Roman" w:eastAsia="Times New Roman"/>
                <w:color w:val="000000"/>
                <w:sz w:val="22"/>
              </w:rPr>
              <w:t>NX1502010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列车通信控制技术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 w:val="22"/>
              </w:rPr>
            </w:pPr>
            <w:r>
              <w:rPr>
                <w:rFonts w:ascii="Times New Roman" w:hAnsi="Times New Roman" w:eastAsia="Times New Roman"/>
                <w:color w:val="000000"/>
                <w:sz w:val="22"/>
              </w:rPr>
              <w:t>NX1502009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车网耦合控制技术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 w:val="22"/>
              </w:rPr>
            </w:pPr>
            <w:r>
              <w:rPr>
                <w:rFonts w:ascii="Times New Roman" w:hAnsi="Times New Roman" w:eastAsia="Times New Roman"/>
                <w:color w:val="000000"/>
                <w:sz w:val="22"/>
              </w:rPr>
              <w:t>NX1502008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交流运动控制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NX1502011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轨交综合监控技术 </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NX1502013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轨道交通项目管理（校企）</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NX1002030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企业家精神</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w:t>
            </w:r>
            <w:r>
              <w:rPr>
                <w:rFonts w:ascii="Times New Roman" w:hAnsi="Times New Roman" w:eastAsia="Times New Roman"/>
                <w:color w:val="000000"/>
                <w:kern w:val="0"/>
                <w:szCs w:val="21"/>
              </w:rPr>
              <w:t xml:space="preserve"> </w:t>
            </w:r>
            <w:r>
              <w:rPr>
                <w:rFonts w:ascii="宋体" w:hAnsi="宋体"/>
                <w:color w:val="000000"/>
                <w:kern w:val="0"/>
                <w:szCs w:val="21"/>
              </w:rPr>
              <w:t>修</w:t>
            </w:r>
          </w:p>
          <w:p>
            <w:pPr>
              <w:spacing w:before="40" w:after="40" w:line="312" w:lineRule="exact"/>
              <w:jc w:val="center"/>
              <w:rPr>
                <w:rFonts w:ascii="宋体" w:hAnsi="宋体"/>
                <w:color w:val="000000"/>
                <w:kern w:val="0"/>
                <w:szCs w:val="21"/>
              </w:rPr>
            </w:pPr>
            <w:r>
              <w:rPr>
                <w:rFonts w:ascii="宋体" w:hAnsi="宋体"/>
                <w:color w:val="000000"/>
                <w:kern w:val="0"/>
                <w:szCs w:val="21"/>
              </w:rPr>
              <w:t>环</w:t>
            </w:r>
            <w:r>
              <w:rPr>
                <w:rFonts w:ascii="Times New Roman" w:hAnsi="Times New Roman" w:eastAsia="Times New Roman"/>
                <w:color w:val="000000"/>
                <w:kern w:val="0"/>
                <w:szCs w:val="21"/>
              </w:rPr>
              <w:t xml:space="preserve"> </w:t>
            </w:r>
            <w:r>
              <w:rPr>
                <w:rFonts w:ascii="宋体" w:hAnsi="宋体"/>
                <w:color w:val="000000"/>
                <w:kern w:val="0"/>
                <w:szCs w:val="21"/>
              </w:rPr>
              <w:t>节</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B0502000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Cs w:val="21"/>
              </w:rPr>
            </w:pPr>
            <w:r>
              <w:rPr>
                <w:rFonts w:ascii="宋体" w:hAnsi="宋体"/>
                <w:color w:val="000000"/>
                <w:szCs w:val="21"/>
              </w:rPr>
              <w:t>学术讲座和学术沙龙</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Times New Roman" w:hAnsi="Times New Roman" w:eastAsia="Times New Roman"/>
                <w:color w:val="000000"/>
                <w:kern w:val="0"/>
                <w:szCs w:val="21"/>
              </w:rPr>
              <w:t>2</w:t>
            </w:r>
            <w:r>
              <w:rPr>
                <w:rFonts w:ascii="宋体" w:hAnsi="宋体"/>
                <w:color w:val="000000"/>
                <w:kern w:val="0"/>
                <w:szCs w:val="21"/>
              </w:rPr>
              <w:t>学分</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 w:val="20"/>
                <w:szCs w:val="20"/>
              </w:rPr>
            </w:pPr>
            <w:r>
              <w:rPr>
                <w:rFonts w:ascii="宋体" w:hAnsi="宋体"/>
                <w:color w:val="000000"/>
                <w:kern w:val="0"/>
                <w:sz w:val="20"/>
                <w:szCs w:val="20"/>
              </w:rPr>
              <w:t>≥</w:t>
            </w:r>
            <w:r>
              <w:rPr>
                <w:rFonts w:ascii="Times New Roman" w:hAnsi="Times New Roman" w:eastAsia="Times New Roman"/>
                <w:color w:val="000000"/>
                <w:kern w:val="0"/>
                <w:sz w:val="20"/>
                <w:szCs w:val="20"/>
              </w:rPr>
              <w:t>10</w:t>
            </w:r>
            <w:r>
              <w:rPr>
                <w:rFonts w:ascii="宋体" w:hAnsi="宋体"/>
                <w:color w:val="000000"/>
                <w:kern w:val="0"/>
                <w:sz w:val="20"/>
                <w:szCs w:val="20"/>
              </w:rPr>
              <w:t>次（在读期间累计）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B0502001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Cs w:val="21"/>
              </w:rPr>
            </w:pPr>
            <w:r>
              <w:rPr>
                <w:rFonts w:ascii="宋体" w:hAnsi="宋体"/>
                <w:color w:val="000000"/>
                <w:szCs w:val="21"/>
              </w:rPr>
              <w:t>专业实践</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Times New Roman" w:hAnsi="Times New Roman" w:eastAsia="Times New Roman"/>
                <w:color w:val="000000"/>
                <w:kern w:val="0"/>
                <w:szCs w:val="21"/>
              </w:rPr>
              <w:t>6</w:t>
            </w:r>
            <w:r>
              <w:rPr>
                <w:rFonts w:ascii="宋体" w:hAnsi="宋体"/>
                <w:color w:val="000000"/>
                <w:kern w:val="0"/>
                <w:szCs w:val="21"/>
              </w:rPr>
              <w:t>学分</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20"/>
                <w:szCs w:val="20"/>
              </w:rPr>
            </w:pPr>
            <w:r>
              <w:rPr>
                <w:rFonts w:ascii="宋体" w:hAnsi="宋体"/>
                <w:color w:val="000000"/>
                <w:kern w:val="0"/>
                <w:sz w:val="20"/>
                <w:szCs w:val="20"/>
              </w:rPr>
              <w:t>≥</w:t>
            </w:r>
            <w:r>
              <w:rPr>
                <w:rFonts w:ascii="Times New Roman" w:hAnsi="Times New Roman" w:eastAsia="Times New Roman"/>
                <w:color w:val="000000"/>
                <w:kern w:val="0"/>
                <w:sz w:val="20"/>
                <w:szCs w:val="20"/>
              </w:rPr>
              <w:t>1</w:t>
            </w:r>
            <w:r>
              <w:rPr>
                <w:rFonts w:ascii="宋体" w:hAnsi="宋体"/>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315"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left"/>
              <w:rPr>
                <w:rFonts w:ascii="宋体" w:hAnsi="宋体"/>
                <w:b/>
                <w:bCs/>
                <w:color w:val="000000"/>
                <w:kern w:val="0"/>
                <w:sz w:val="20"/>
                <w:szCs w:val="20"/>
              </w:rPr>
            </w:pPr>
            <w:r>
              <w:rPr>
                <w:rFonts w:ascii="宋体" w:hAnsi="宋体"/>
                <w:b/>
                <w:bCs/>
                <w:color w:val="000000"/>
                <w:kern w:val="0"/>
                <w:sz w:val="20"/>
                <w:szCs w:val="20"/>
              </w:rPr>
              <w:t>注：一般情况下，选修课选课人数</w:t>
            </w:r>
            <w:r>
              <w:rPr>
                <w:rFonts w:ascii="Times New Roman" w:hAnsi="Times New Roman" w:eastAsia="Times New Roman"/>
                <w:b/>
                <w:bCs/>
                <w:color w:val="000000"/>
                <w:kern w:val="0"/>
                <w:sz w:val="20"/>
                <w:szCs w:val="20"/>
              </w:rPr>
              <w:t>6</w:t>
            </w:r>
            <w:r>
              <w:rPr>
                <w:rFonts w:ascii="宋体" w:hAnsi="宋体"/>
                <w:b/>
                <w:bCs/>
                <w:color w:val="000000"/>
                <w:kern w:val="0"/>
                <w:sz w:val="20"/>
                <w:szCs w:val="20"/>
              </w:rPr>
              <w:t>人及以上方可开课。</w:t>
            </w:r>
          </w:p>
        </w:tc>
      </w:tr>
    </w:tbl>
    <w:p>
      <w:pPr>
        <w:spacing w:before="240" w:line="460" w:lineRule="exact"/>
        <w:rPr>
          <w:rFonts w:ascii="黑体" w:hAnsi="黑体" w:eastAsia="黑体"/>
          <w:color w:val="000000"/>
          <w:sz w:val="24"/>
          <w:szCs w:val="24"/>
        </w:rPr>
      </w:pPr>
      <w:r>
        <w:rPr>
          <w:rFonts w:ascii="黑体" w:hAnsi="黑体" w:eastAsia="黑体"/>
          <w:color w:val="000000"/>
          <w:sz w:val="24"/>
          <w:szCs w:val="24"/>
        </w:rPr>
        <w:t>六、开题报告</w:t>
      </w:r>
    </w:p>
    <w:p>
      <w:pPr>
        <w:spacing w:line="360" w:lineRule="auto"/>
        <w:ind w:firstLine="480" w:firstLineChars="200"/>
        <w:jc w:val="left"/>
        <w:rPr>
          <w:rFonts w:ascii="宋体" w:hAnsi="宋体"/>
          <w:color w:val="000000"/>
          <w:sz w:val="24"/>
          <w:szCs w:val="24"/>
        </w:rPr>
      </w:pPr>
      <w:r>
        <w:rPr>
          <w:rFonts w:ascii="宋体" w:hAnsi="宋体"/>
          <w:color w:val="000000"/>
          <w:kern w:val="0"/>
          <w:sz w:val="24"/>
          <w:szCs w:val="24"/>
        </w:rPr>
        <w:t>为保证专业硕士论文质量，研究生入学第三学期应进行开题报告。硕士生应首先把握学科发展和应用的前沿，围绕课题搜集有关文献资料，结合专业实践的前期调查，在此基础上，撰写开题报告。开题报告应在专业实践基地或校内作公开报告、答辩，经由校内导师和企业导师组成的导师组审核，</w:t>
      </w:r>
      <w:r>
        <w:rPr>
          <w:rFonts w:ascii="宋体" w:hAnsi="宋体"/>
          <w:color w:val="000000"/>
          <w:sz w:val="24"/>
          <w:szCs w:val="24"/>
        </w:rPr>
        <w:t>经审核通过者才可进入学位论文工作。</w:t>
      </w:r>
    </w:p>
    <w:p>
      <w:pPr>
        <w:spacing w:line="360" w:lineRule="auto"/>
        <w:rPr>
          <w:rFonts w:ascii="黑体" w:hAnsi="黑体" w:eastAsia="黑体"/>
          <w:color w:val="000000"/>
          <w:sz w:val="24"/>
          <w:szCs w:val="24"/>
        </w:rPr>
      </w:pPr>
      <w:r>
        <w:rPr>
          <w:rFonts w:ascii="黑体" w:hAnsi="黑体" w:eastAsia="黑体"/>
          <w:color w:val="000000"/>
          <w:sz w:val="24"/>
          <w:szCs w:val="24"/>
        </w:rPr>
        <w:t>七、中期考核</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为保证研究生质量，在入学后第四学期末之前进行中期考核。由导师组成的研究生中期考核小组对研究生的政治思想表现、学位课程情况、学位论文开题报告等方面进行考核，考核小组本着公平、公正、负责、实事求是的态度对研究生作出评价，评定成绩，对考核不合格或完成学业确有困难者，劝其退学或作肄业处理。</w:t>
      </w:r>
    </w:p>
    <w:p>
      <w:pPr>
        <w:spacing w:line="360" w:lineRule="auto"/>
        <w:ind w:firstLine="480" w:firstLineChars="200"/>
        <w:rPr>
          <w:rFonts w:ascii="宋体" w:hAnsi="宋体"/>
          <w:color w:val="000000"/>
          <w:sz w:val="24"/>
          <w:szCs w:val="24"/>
        </w:rPr>
      </w:pPr>
      <w:r>
        <w:rPr>
          <w:rFonts w:ascii="宋体" w:hAnsi="宋体"/>
          <w:color w:val="000000"/>
          <w:sz w:val="24"/>
          <w:szCs w:val="24"/>
        </w:rPr>
        <w:t>所有学生进入第三个学期起，必须完成至少一次学术沙龙报告，作为中期考核的必要条件。没有进行学术沙龙报告的学生，中期考核视为不合格。</w:t>
      </w:r>
    </w:p>
    <w:p>
      <w:pPr>
        <w:spacing w:line="360" w:lineRule="auto"/>
        <w:rPr>
          <w:rFonts w:ascii="黑体" w:hAnsi="黑体" w:eastAsia="黑体"/>
          <w:color w:val="000000"/>
          <w:sz w:val="24"/>
          <w:szCs w:val="24"/>
        </w:rPr>
      </w:pPr>
      <w:r>
        <w:rPr>
          <w:rFonts w:ascii="黑体" w:hAnsi="黑体" w:eastAsia="黑体"/>
          <w:color w:val="000000"/>
          <w:sz w:val="24"/>
          <w:szCs w:val="24"/>
        </w:rPr>
        <w:t>八、专业实践</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专业实践是专业学位硕士研究生培养过程中的重要教学和科研训练环节，是提高研究生创新意识和创新能力的重要保证。专业实践应有明确任务要求和考核指标，实践成果能够反映工程类硕士专业学位研究生在工程能力和工程素养方面取得的成效。研究生要提交企业实践证明，撰写实践学习总结报告，不参加专业实践或参加专业实践考核未通过者，不得申请毕业和学位论文答辩。</w:t>
      </w:r>
    </w:p>
    <w:p>
      <w:pPr>
        <w:spacing w:line="360" w:lineRule="auto"/>
        <w:ind w:firstLine="480" w:firstLineChars="200"/>
        <w:rPr>
          <w:rFonts w:ascii="宋体" w:hAnsi="宋体"/>
          <w:color w:val="000000"/>
          <w:sz w:val="24"/>
          <w:szCs w:val="24"/>
        </w:rPr>
      </w:pPr>
      <w:r>
        <w:rPr>
          <w:rFonts w:ascii="宋体" w:hAnsi="宋体"/>
          <w:color w:val="000000"/>
          <w:sz w:val="24"/>
          <w:szCs w:val="24"/>
        </w:rPr>
        <w:t>专业实践特指：</w:t>
      </w:r>
      <w:r>
        <w:rPr>
          <w:rFonts w:ascii="Times New Roman" w:hAnsi="Times New Roman" w:eastAsia="Times New Roman"/>
          <w:color w:val="000000"/>
          <w:sz w:val="24"/>
          <w:szCs w:val="24"/>
        </w:rPr>
        <w:t>1.</w:t>
      </w:r>
      <w:r>
        <w:rPr>
          <w:rFonts w:ascii="宋体" w:hAnsi="宋体"/>
          <w:color w:val="000000"/>
          <w:sz w:val="24"/>
          <w:szCs w:val="24"/>
        </w:rPr>
        <w:t>从事导师主持或主要参与、科技处认定的在研横向课题，该课题与学位论文紧密相关，且经常走进对接企业接触实践；</w:t>
      </w:r>
      <w:r>
        <w:rPr>
          <w:rFonts w:ascii="Times New Roman" w:hAnsi="Times New Roman" w:eastAsia="Times New Roman"/>
          <w:color w:val="000000"/>
          <w:sz w:val="24"/>
          <w:szCs w:val="24"/>
        </w:rPr>
        <w:t>2.</w:t>
      </w:r>
      <w:r>
        <w:rPr>
          <w:rFonts w:ascii="宋体" w:hAnsi="宋体"/>
          <w:color w:val="000000"/>
          <w:sz w:val="24"/>
          <w:szCs w:val="24"/>
        </w:rPr>
        <w:t>若导师无在研横向课题，学生必须进入学校认可的专业学位实践基地进行企业课题研究。具体要求依照《上海应用技术大学硕士专业学位研究生企业实践环节要求及考核办法》执行。</w:t>
      </w:r>
    </w:p>
    <w:p>
      <w:pPr>
        <w:spacing w:line="360" w:lineRule="auto"/>
        <w:rPr>
          <w:rFonts w:ascii="宋体" w:hAnsi="宋体"/>
          <w:b/>
          <w:bCs/>
          <w:color w:val="000000"/>
          <w:kern w:val="0"/>
          <w:sz w:val="24"/>
          <w:szCs w:val="24"/>
        </w:rPr>
      </w:pPr>
      <w:r>
        <w:rPr>
          <w:rFonts w:ascii="宋体" w:hAnsi="宋体"/>
          <w:b/>
          <w:bCs/>
          <w:color w:val="000000"/>
          <w:kern w:val="0"/>
          <w:sz w:val="24"/>
          <w:szCs w:val="24"/>
        </w:rPr>
        <w:t>九、学位论文</w:t>
      </w:r>
    </w:p>
    <w:p>
      <w:pPr>
        <w:spacing w:line="360" w:lineRule="auto"/>
        <w:ind w:firstLine="480" w:firstLineChars="200"/>
        <w:rPr>
          <w:rFonts w:ascii="宋体" w:hAnsi="宋体"/>
          <w:color w:val="000000"/>
          <w:sz w:val="24"/>
          <w:szCs w:val="24"/>
        </w:rPr>
      </w:pPr>
      <w:r>
        <w:rPr>
          <w:rFonts w:ascii="宋体" w:hAnsi="宋体"/>
          <w:color w:val="000000"/>
          <w:sz w:val="24"/>
          <w:szCs w:val="24"/>
        </w:rPr>
        <w:t>学位论文是硕士生基础理论知识和科学研究能力的具体体现，是硕士生培养质量的重要标志。</w:t>
      </w:r>
    </w:p>
    <w:p>
      <w:pPr>
        <w:spacing w:line="360" w:lineRule="auto"/>
        <w:ind w:firstLine="480" w:firstLineChars="200"/>
        <w:rPr>
          <w:rFonts w:ascii="宋体" w:hAnsi="宋体"/>
          <w:color w:val="000000"/>
          <w:sz w:val="24"/>
          <w:szCs w:val="24"/>
        </w:rPr>
      </w:pPr>
      <w:r>
        <w:rPr>
          <w:rFonts w:ascii="宋体" w:hAnsi="宋体"/>
          <w:color w:val="000000"/>
          <w:sz w:val="24"/>
          <w:szCs w:val="24"/>
        </w:rPr>
        <w:t>1．学位论文的选题直接来源于生产实际或具有明确的工程背景，要具有一定的理论深度和先进性，拟解决的问题要有一定的技术难度和工作量，其研究成果要有实际应用价值和较好的推广价值。选题范围涵盖以下方面：</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1</w:t>
      </w:r>
      <w:r>
        <w:rPr>
          <w:rFonts w:ascii="宋体" w:hAnsi="宋体"/>
          <w:color w:val="000000"/>
          <w:sz w:val="24"/>
          <w:szCs w:val="24"/>
        </w:rPr>
        <w:t>）技术攻关、技术改造、技术推广与应用；</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2</w:t>
      </w:r>
      <w:r>
        <w:rPr>
          <w:rFonts w:ascii="宋体" w:hAnsi="宋体"/>
          <w:color w:val="000000"/>
          <w:sz w:val="24"/>
          <w:szCs w:val="24"/>
        </w:rPr>
        <w:t>）新工艺、新材料、新产品、新设备的研制与开发；</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3</w:t>
      </w:r>
      <w:r>
        <w:rPr>
          <w:rFonts w:ascii="宋体" w:hAnsi="宋体"/>
          <w:color w:val="000000"/>
          <w:sz w:val="24"/>
          <w:szCs w:val="24"/>
        </w:rPr>
        <w:t>）引进、消化、吸收和应用国外先进技术项目；</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4</w:t>
      </w:r>
      <w:r>
        <w:rPr>
          <w:rFonts w:ascii="宋体" w:hAnsi="宋体"/>
          <w:color w:val="000000"/>
          <w:sz w:val="24"/>
          <w:szCs w:val="24"/>
        </w:rPr>
        <w:t>）一个较为完整的工程技术项目的规划或研究；</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5</w:t>
      </w:r>
      <w:r>
        <w:rPr>
          <w:rFonts w:ascii="宋体" w:hAnsi="宋体"/>
          <w:color w:val="000000"/>
          <w:sz w:val="24"/>
          <w:szCs w:val="24"/>
        </w:rPr>
        <w:t>）工程设计与实施；</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6</w:t>
      </w:r>
      <w:r>
        <w:rPr>
          <w:rFonts w:ascii="宋体" w:hAnsi="宋体"/>
          <w:color w:val="000000"/>
          <w:sz w:val="24"/>
          <w:szCs w:val="24"/>
        </w:rPr>
        <w:t>）实验方法研究和实验开发；</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7</w:t>
      </w:r>
      <w:r>
        <w:rPr>
          <w:rFonts w:ascii="宋体" w:hAnsi="宋体"/>
          <w:color w:val="000000"/>
          <w:sz w:val="24"/>
          <w:szCs w:val="24"/>
        </w:rPr>
        <w:t>）技术标准制定；</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8</w:t>
      </w:r>
      <w:r>
        <w:rPr>
          <w:rFonts w:ascii="宋体" w:hAnsi="宋体"/>
          <w:color w:val="000000"/>
          <w:sz w:val="24"/>
          <w:szCs w:val="24"/>
        </w:rPr>
        <w:t>）其他。</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2</w:t>
      </w:r>
      <w:r>
        <w:rPr>
          <w:rFonts w:ascii="宋体" w:hAnsi="宋体"/>
          <w:color w:val="000000"/>
          <w:kern w:val="0"/>
          <w:sz w:val="24"/>
          <w:szCs w:val="24"/>
        </w:rPr>
        <w:t>．学位论文必须在导师指导下完成，指导实行双导师制，其中一位导师来自培养单位，另一位导师来自企业的与本类别相关的专家。</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 xml:space="preserve">3. </w:t>
      </w:r>
      <w:r>
        <w:rPr>
          <w:rFonts w:ascii="宋体" w:hAnsi="宋体"/>
          <w:color w:val="000000"/>
          <w:kern w:val="0"/>
          <w:sz w:val="24"/>
          <w:szCs w:val="24"/>
        </w:rPr>
        <w:t>学位论文应对选题所涉及的工程技术问题或研究课题的国内外状况有清晰的描述与分析，综合应用基础理论、科学方法、专业知识和技术手段对所解决的科研问题或工程实际问题进行分析研究，并能在某些方面提出独立见解，有一定的技术深度。论文成果具有一定的先进性和实用性。学位论文撰写要求概念清晰，逻辑严谨，结构合理，层次分明，文字通畅，图表清晰，数据可靠，计算正确。通过学位论文研究及其所开展的科研、技术开发或改造等活动，对相对独立完成的课题或取得的阶段性成果进行总结，鼓励发表一定数量和质量的学术论文、申请发明专利等具有一定创新性的成果。</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4.论文可以采用产品研发、工程设计、应用研究、工程/项目管理、调研报告等多种形式。</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5.</w:t>
      </w:r>
      <w:r>
        <w:rPr>
          <w:rFonts w:ascii="宋体" w:hAnsi="宋体"/>
          <w:color w:val="000000"/>
          <w:kern w:val="0"/>
          <w:sz w:val="24"/>
          <w:szCs w:val="24"/>
        </w:rPr>
        <w:t>学位论文具体格式参照《上海应用技术大学研究生学位论文格式撰写要求》执行。</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6．凡通过课程学习、专业实践考核、完成学位论文工作的硕士生，经导师及导师组审核，认为该生符合答辩要求的，可以组织论文评审答辩。答辩按要求在高校或企业进行答辩，答辩组成员由高校的导师和企业导师双方组成。</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7</w:t>
      </w:r>
      <w:r>
        <w:rPr>
          <w:rFonts w:ascii="宋体" w:hAnsi="宋体"/>
          <w:color w:val="000000"/>
          <w:kern w:val="0"/>
          <w:sz w:val="24"/>
          <w:szCs w:val="24"/>
        </w:rPr>
        <w:t>．硕士生除完成学位论文外，需按照《</w:t>
      </w:r>
      <w:r>
        <w:rPr>
          <w:rFonts w:hint="eastAsia" w:ascii="宋体" w:hAnsi="宋体"/>
          <w:color w:val="000000"/>
          <w:kern w:val="0"/>
          <w:sz w:val="24"/>
          <w:szCs w:val="24"/>
        </w:rPr>
        <w:t>上海应用技术大学关于数学等硕士学位点研究生授予学位科研成果要求的规定</w:t>
      </w:r>
      <w:r>
        <w:rPr>
          <w:rFonts w:ascii="宋体" w:hAnsi="宋体"/>
          <w:color w:val="000000"/>
          <w:kern w:val="0"/>
          <w:sz w:val="24"/>
          <w:szCs w:val="24"/>
        </w:rPr>
        <w:t>》（</w:t>
      </w:r>
      <w:r>
        <w:rPr>
          <w:rFonts w:hint="eastAsia" w:ascii="宋体" w:hAnsi="宋体"/>
          <w:color w:val="000000"/>
          <w:kern w:val="0"/>
          <w:sz w:val="24"/>
          <w:szCs w:val="24"/>
        </w:rPr>
        <w:t>上应学位〔2021〕5号</w:t>
      </w:r>
      <w:r>
        <w:rPr>
          <w:rFonts w:ascii="宋体" w:hAnsi="宋体"/>
          <w:color w:val="000000"/>
          <w:kern w:val="0"/>
          <w:sz w:val="24"/>
          <w:szCs w:val="24"/>
        </w:rPr>
        <w:t>）等文件发表相应的论文或申请专利等。</w:t>
      </w:r>
    </w:p>
    <w:p>
      <w:pPr>
        <w:spacing w:line="360" w:lineRule="auto"/>
        <w:ind w:firstLine="480" w:firstLineChars="200"/>
        <w:rPr>
          <w:rFonts w:ascii="宋体" w:hAnsi="宋体"/>
          <w:color w:val="000000"/>
          <w:kern w:val="0"/>
          <w:sz w:val="24"/>
          <w:szCs w:val="24"/>
        </w:rPr>
      </w:pPr>
      <w:r>
        <w:rPr>
          <w:rFonts w:ascii="宋体" w:hAnsi="宋体"/>
          <w:color w:val="000000"/>
          <w:sz w:val="24"/>
          <w:szCs w:val="24"/>
        </w:rPr>
        <w:t>8．</w:t>
      </w:r>
      <w:r>
        <w:rPr>
          <w:rFonts w:ascii="宋体" w:hAnsi="宋体"/>
          <w:color w:val="000000"/>
          <w:kern w:val="0"/>
          <w:sz w:val="24"/>
          <w:szCs w:val="24"/>
        </w:rPr>
        <w:t>专业实践期间从事毕业论文的工作内容，所取得成果的知识产权，根据合作协议判定知识产权归属。</w:t>
      </w:r>
    </w:p>
    <w:p>
      <w:pPr>
        <w:spacing w:line="360" w:lineRule="auto"/>
        <w:ind w:left="902" w:leftChars="200" w:hanging="482" w:hangingChars="200"/>
        <w:jc w:val="left"/>
        <w:rPr>
          <w:rFonts w:ascii="黑体" w:hAnsi="黑体" w:eastAsia="黑体"/>
          <w:b/>
          <w:bCs/>
          <w:color w:val="000000"/>
          <w:sz w:val="24"/>
          <w:szCs w:val="24"/>
        </w:rPr>
      </w:pPr>
      <w:r>
        <w:rPr>
          <w:rFonts w:ascii="宋体" w:hAnsi="宋体"/>
          <w:b/>
          <w:bCs/>
          <w:color w:val="000000"/>
          <w:kern w:val="0"/>
          <w:sz w:val="24"/>
          <w:szCs w:val="24"/>
        </w:rPr>
        <w:t>十、</w:t>
      </w:r>
      <w:r>
        <w:rPr>
          <w:rFonts w:ascii="黑体" w:hAnsi="黑体" w:eastAsia="黑体"/>
          <w:b/>
          <w:bCs/>
          <w:color w:val="000000"/>
          <w:sz w:val="24"/>
          <w:szCs w:val="24"/>
        </w:rPr>
        <w:t>学位授予</w:t>
      </w:r>
    </w:p>
    <w:p>
      <w:pPr>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专业学位硕士研究生按要求完成培养方案规定的内容，修满规定学分，通过实践考核和论文答辩，经审核通过，获得本类别工程硕士毕业证书。经校学位评定委员会审定通过，授予其本类别工程硕士专业学位。硕士学位的申请与授予工作按《上海应用技术大学硕士专业学位授予工作细则（试行）》（上应研〔</w:t>
      </w:r>
      <w:r>
        <w:rPr>
          <w:rFonts w:ascii="Times New Roman" w:hAnsi="Times New Roman" w:eastAsia="Times New Roman"/>
          <w:color w:val="000000"/>
          <w:kern w:val="0"/>
          <w:sz w:val="24"/>
          <w:szCs w:val="24"/>
        </w:rPr>
        <w:t>2017</w:t>
      </w:r>
      <w:r>
        <w:rPr>
          <w:rFonts w:ascii="宋体" w:hAnsi="宋体"/>
          <w:color w:val="000000"/>
          <w:kern w:val="0"/>
          <w:sz w:val="24"/>
          <w:szCs w:val="24"/>
        </w:rPr>
        <w:t>〕</w:t>
      </w:r>
      <w:r>
        <w:rPr>
          <w:rFonts w:ascii="Times New Roman" w:hAnsi="Times New Roman" w:eastAsia="Times New Roman"/>
          <w:color w:val="000000"/>
          <w:kern w:val="0"/>
          <w:sz w:val="24"/>
          <w:szCs w:val="24"/>
        </w:rPr>
        <w:t>14</w:t>
      </w:r>
      <w:r>
        <w:rPr>
          <w:rFonts w:ascii="宋体" w:hAnsi="宋体"/>
          <w:color w:val="000000"/>
          <w:kern w:val="0"/>
          <w:sz w:val="24"/>
          <w:szCs w:val="24"/>
        </w:rPr>
        <w:t>号）执行。</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A2DEB"/>
    <w:multiLevelType w:val="multilevel"/>
    <w:tmpl w:val="7F3A2DEB"/>
    <w:lvl w:ilvl="0" w:tentative="0">
      <w:start w:val="1"/>
      <w:numFmt w:val="chineseCountingThousand"/>
      <w:lvlText w:val="%1、"/>
      <w:lvlJc w:val="left"/>
      <w:pPr>
        <w:ind w:left="420" w:hanging="420"/>
      </w:pPr>
      <w:rPr>
        <w:rFonts w:hint="eastAsia"/>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YThkODRiYzc5MmY1N2RlYjNhMGM4NzdkY2YwOGUifQ=="/>
  </w:docVars>
  <w:rsids>
    <w:rsidRoot w:val="00BA0C1A"/>
    <w:rsid w:val="000120C0"/>
    <w:rsid w:val="000A610C"/>
    <w:rsid w:val="000C51B7"/>
    <w:rsid w:val="00152554"/>
    <w:rsid w:val="001564A2"/>
    <w:rsid w:val="001602CB"/>
    <w:rsid w:val="00165D17"/>
    <w:rsid w:val="00194583"/>
    <w:rsid w:val="001B73FA"/>
    <w:rsid w:val="001E200C"/>
    <w:rsid w:val="00216EB9"/>
    <w:rsid w:val="002251B4"/>
    <w:rsid w:val="002451C5"/>
    <w:rsid w:val="0026603D"/>
    <w:rsid w:val="00290C53"/>
    <w:rsid w:val="002A5813"/>
    <w:rsid w:val="002C304A"/>
    <w:rsid w:val="002F40AC"/>
    <w:rsid w:val="00325DEC"/>
    <w:rsid w:val="0036221F"/>
    <w:rsid w:val="003728B3"/>
    <w:rsid w:val="00386F12"/>
    <w:rsid w:val="003A6CAA"/>
    <w:rsid w:val="0041314D"/>
    <w:rsid w:val="004B5F47"/>
    <w:rsid w:val="00575880"/>
    <w:rsid w:val="0059531B"/>
    <w:rsid w:val="005C7E39"/>
    <w:rsid w:val="005F4889"/>
    <w:rsid w:val="00616505"/>
    <w:rsid w:val="0062213C"/>
    <w:rsid w:val="00633F40"/>
    <w:rsid w:val="0065123E"/>
    <w:rsid w:val="006549AD"/>
    <w:rsid w:val="00684D9C"/>
    <w:rsid w:val="006D1348"/>
    <w:rsid w:val="006F3D98"/>
    <w:rsid w:val="007B0BF4"/>
    <w:rsid w:val="007B3FE5"/>
    <w:rsid w:val="00847F7E"/>
    <w:rsid w:val="008B4A3D"/>
    <w:rsid w:val="00903E05"/>
    <w:rsid w:val="009C1DF1"/>
    <w:rsid w:val="00A2689B"/>
    <w:rsid w:val="00A60633"/>
    <w:rsid w:val="00BA0C1A"/>
    <w:rsid w:val="00C061CB"/>
    <w:rsid w:val="00C1524E"/>
    <w:rsid w:val="00C21CC9"/>
    <w:rsid w:val="00C4734B"/>
    <w:rsid w:val="00C604EC"/>
    <w:rsid w:val="00C64A3C"/>
    <w:rsid w:val="00C90B7A"/>
    <w:rsid w:val="00C94143"/>
    <w:rsid w:val="00CA4E16"/>
    <w:rsid w:val="00D14505"/>
    <w:rsid w:val="00D37013"/>
    <w:rsid w:val="00D60085"/>
    <w:rsid w:val="00D66A05"/>
    <w:rsid w:val="00D8758A"/>
    <w:rsid w:val="00D9290A"/>
    <w:rsid w:val="00E0023C"/>
    <w:rsid w:val="00E14F5D"/>
    <w:rsid w:val="00E26251"/>
    <w:rsid w:val="00E323A3"/>
    <w:rsid w:val="00E6475B"/>
    <w:rsid w:val="00EA1EE8"/>
    <w:rsid w:val="00ED790B"/>
    <w:rsid w:val="00F001C4"/>
    <w:rsid w:val="00F53662"/>
    <w:rsid w:val="00F574A7"/>
    <w:rsid w:val="01773B34"/>
    <w:rsid w:val="083D07F0"/>
    <w:rsid w:val="0A6F0D98"/>
    <w:rsid w:val="105E3B74"/>
    <w:rsid w:val="1C2C4424"/>
    <w:rsid w:val="1CD54CE6"/>
    <w:rsid w:val="1DEC38DC"/>
    <w:rsid w:val="1FA77D59"/>
    <w:rsid w:val="21D5511C"/>
    <w:rsid w:val="22550031"/>
    <w:rsid w:val="30456175"/>
    <w:rsid w:val="36772279"/>
    <w:rsid w:val="434067C1"/>
    <w:rsid w:val="46D63B97"/>
    <w:rsid w:val="568D20C3"/>
    <w:rsid w:val="58A910B2"/>
    <w:rsid w:val="5DBE5154"/>
    <w:rsid w:val="634518DC"/>
    <w:rsid w:val="68F557E6"/>
    <w:rsid w:val="6ADC0A54"/>
    <w:rsid w:val="6EAF13B0"/>
    <w:rsid w:val="71061E72"/>
    <w:rsid w:val="733C4DFB"/>
    <w:rsid w:val="7427745B"/>
    <w:rsid w:val="7A3B2499"/>
    <w:rsid w:val="7A8B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lang w:val="zh-CN" w:eastAsia="zh-CN"/>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semiHidden/>
    <w:qFormat/>
    <w:uiPriority w:val="99"/>
    <w:rPr>
      <w:sz w:val="18"/>
      <w:szCs w:val="18"/>
    </w:rPr>
  </w:style>
  <w:style w:type="character" w:customStyle="1" w:styleId="9">
    <w:name w:val="页脚 字符"/>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2E004E1-6A79-41BB-A244-391FE3CC33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5059</Words>
  <Characters>5741</Characters>
  <Lines>45</Lines>
  <Paragraphs>12</Paragraphs>
  <TotalTime>287</TotalTime>
  <ScaleCrop>false</ScaleCrop>
  <LinksUpToDate>false</LinksUpToDate>
  <CharactersWithSpaces>5771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Tencent</dc:creator>
  <cp:lastModifiedBy>Administrator</cp:lastModifiedBy>
  <cp:lastPrinted>2022-06-10T03:15:00Z</cp:lastPrinted>
  <dcterms:modified xsi:type="dcterms:W3CDTF">2022-09-07T01:59:07Z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57E52CA6982843EC9D1A971AD83C0B7B</vt:lpwstr>
  </property>
</Properties>
</file>